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5D" w:rsidRPr="0094586B" w:rsidRDefault="006A4C5D" w:rsidP="006A4C5D">
      <w:pPr>
        <w:rPr>
          <w:b/>
          <w:sz w:val="28"/>
          <w:szCs w:val="28"/>
        </w:rPr>
      </w:pPr>
      <w:bookmarkStart w:id="0" w:name="_GoBack"/>
      <w:bookmarkEnd w:id="0"/>
      <w:r w:rsidRPr="0094586B">
        <w:rPr>
          <w:b/>
          <w:sz w:val="28"/>
          <w:szCs w:val="28"/>
        </w:rPr>
        <w:t>KLINIKA ZA ORTOPEDIJU LOVRAN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RKP: 26426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Matični broj: 03090302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OIB: 09777091543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Adresa:  Maršala Tita 1, Lovran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Razina: 11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Razdjel: 096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Šifra djelatnosti: 8610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Šifra grada: 242</w:t>
      </w:r>
    </w:p>
    <w:p w:rsidR="006A4C5D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Oznaka razdoblja 2023-12</w:t>
      </w:r>
    </w:p>
    <w:p w:rsidR="006A4C5D" w:rsidRDefault="006A4C5D" w:rsidP="006A4C5D">
      <w:pPr>
        <w:rPr>
          <w:sz w:val="24"/>
          <w:szCs w:val="24"/>
        </w:rPr>
      </w:pPr>
    </w:p>
    <w:p w:rsidR="006A4C5D" w:rsidRPr="00FF0CC8" w:rsidRDefault="006A4C5D" w:rsidP="006A4C5D">
      <w:pPr>
        <w:rPr>
          <w:sz w:val="24"/>
          <w:szCs w:val="24"/>
        </w:rPr>
      </w:pPr>
      <w:r w:rsidRPr="00FF0CC8">
        <w:rPr>
          <w:sz w:val="24"/>
          <w:szCs w:val="24"/>
        </w:rPr>
        <w:t xml:space="preserve">Lovran, </w:t>
      </w:r>
      <w:r>
        <w:rPr>
          <w:sz w:val="24"/>
          <w:szCs w:val="24"/>
        </w:rPr>
        <w:t>30. prosinca</w:t>
      </w:r>
      <w:r w:rsidRPr="00FF0CC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F0CC8">
        <w:rPr>
          <w:sz w:val="24"/>
          <w:szCs w:val="24"/>
        </w:rPr>
        <w:t>.g.</w:t>
      </w:r>
    </w:p>
    <w:p w:rsidR="006A4C5D" w:rsidRDefault="006A4C5D" w:rsidP="006A4C5D">
      <w:pPr>
        <w:rPr>
          <w:sz w:val="24"/>
          <w:szCs w:val="24"/>
        </w:rPr>
      </w:pPr>
    </w:p>
    <w:p w:rsidR="006A4C5D" w:rsidRDefault="006A4C5D" w:rsidP="006A4C5D">
      <w:pPr>
        <w:rPr>
          <w:b/>
          <w:sz w:val="28"/>
          <w:szCs w:val="28"/>
        </w:rPr>
      </w:pPr>
    </w:p>
    <w:p w:rsidR="006A4C5D" w:rsidRDefault="006A4C5D" w:rsidP="006A4C5D">
      <w:pPr>
        <w:rPr>
          <w:b/>
          <w:sz w:val="28"/>
          <w:szCs w:val="28"/>
        </w:rPr>
      </w:pPr>
    </w:p>
    <w:p w:rsidR="006A4C5D" w:rsidRPr="0094586B" w:rsidRDefault="006A4C5D" w:rsidP="006A4C5D">
      <w:pPr>
        <w:jc w:val="center"/>
        <w:rPr>
          <w:b/>
          <w:sz w:val="32"/>
          <w:szCs w:val="32"/>
        </w:rPr>
      </w:pPr>
      <w:r w:rsidRPr="0094586B">
        <w:rPr>
          <w:b/>
          <w:sz w:val="32"/>
          <w:szCs w:val="32"/>
        </w:rPr>
        <w:t>BILJEŠKE</w:t>
      </w:r>
    </w:p>
    <w:p w:rsidR="006A4C5D" w:rsidRPr="0094586B" w:rsidRDefault="006A4C5D" w:rsidP="006A4C5D">
      <w:pPr>
        <w:jc w:val="center"/>
        <w:rPr>
          <w:b/>
          <w:sz w:val="28"/>
          <w:szCs w:val="28"/>
        </w:rPr>
      </w:pPr>
      <w:r w:rsidRPr="0094586B">
        <w:rPr>
          <w:b/>
          <w:sz w:val="28"/>
          <w:szCs w:val="28"/>
        </w:rPr>
        <w:t xml:space="preserve"> UZ FINANCIJSKE IZVJEŠTAJE</w:t>
      </w:r>
    </w:p>
    <w:p w:rsidR="006A4C5D" w:rsidRPr="0094586B" w:rsidRDefault="006A4C5D" w:rsidP="006A4C5D">
      <w:pPr>
        <w:jc w:val="center"/>
        <w:rPr>
          <w:sz w:val="28"/>
          <w:szCs w:val="28"/>
        </w:rPr>
      </w:pPr>
      <w:r w:rsidRPr="0094586B">
        <w:rPr>
          <w:sz w:val="28"/>
          <w:szCs w:val="28"/>
        </w:rPr>
        <w:t xml:space="preserve">za razdoblje 01. siječnja do </w:t>
      </w:r>
      <w:r>
        <w:rPr>
          <w:sz w:val="28"/>
          <w:szCs w:val="28"/>
        </w:rPr>
        <w:t>31</w:t>
      </w:r>
      <w:r w:rsidRPr="0094586B">
        <w:rPr>
          <w:sz w:val="28"/>
          <w:szCs w:val="28"/>
        </w:rPr>
        <w:t xml:space="preserve">. </w:t>
      </w:r>
      <w:r>
        <w:rPr>
          <w:sz w:val="28"/>
          <w:szCs w:val="28"/>
        </w:rPr>
        <w:t>prosinca</w:t>
      </w:r>
      <w:r w:rsidRPr="0094586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4586B">
        <w:rPr>
          <w:sz w:val="28"/>
          <w:szCs w:val="28"/>
        </w:rPr>
        <w:t>.godine</w:t>
      </w:r>
    </w:p>
    <w:p w:rsidR="006A4C5D" w:rsidRDefault="006A4C5D" w:rsidP="006A4C5D"/>
    <w:p w:rsidR="006A4C5D" w:rsidRPr="00811064" w:rsidRDefault="006A4C5D" w:rsidP="006A4C5D">
      <w:pPr>
        <w:rPr>
          <w:i/>
        </w:rPr>
      </w:pPr>
    </w:p>
    <w:p w:rsidR="006A4C5D" w:rsidRDefault="006A4C5D" w:rsidP="006A4C5D"/>
    <w:p w:rsidR="006A4C5D" w:rsidRDefault="006A4C5D" w:rsidP="006A4C5D"/>
    <w:p w:rsidR="006A4C5D" w:rsidRPr="00661FF1" w:rsidRDefault="006A4C5D" w:rsidP="006A4C5D">
      <w:pPr>
        <w:jc w:val="both"/>
        <w:rPr>
          <w:sz w:val="24"/>
          <w:szCs w:val="24"/>
        </w:rPr>
      </w:pPr>
      <w:r w:rsidRPr="00661FF1">
        <w:rPr>
          <w:sz w:val="24"/>
          <w:szCs w:val="24"/>
        </w:rPr>
        <w:t>Klinika za ortopediju Lovran je zdravstvena ustanova čiji osnivač je Republika Hrvatska. Registrirana je za obavljanje djelatnosti:</w:t>
      </w:r>
    </w:p>
    <w:p w:rsidR="006A4C5D" w:rsidRPr="00661FF1" w:rsidRDefault="006A4C5D" w:rsidP="006A4C5D">
      <w:pPr>
        <w:numPr>
          <w:ilvl w:val="0"/>
          <w:numId w:val="2"/>
        </w:numPr>
        <w:jc w:val="both"/>
        <w:rPr>
          <w:sz w:val="24"/>
          <w:szCs w:val="24"/>
        </w:rPr>
      </w:pPr>
      <w:r w:rsidRPr="00661FF1">
        <w:rPr>
          <w:sz w:val="24"/>
          <w:szCs w:val="24"/>
        </w:rPr>
        <w:t>dijagnostike, liječenja, medicinske rehabilitacije i zdravstvene njege ortopedsko-traumatoloških bolesnika</w:t>
      </w:r>
    </w:p>
    <w:p w:rsidR="006A4C5D" w:rsidRPr="00661FF1" w:rsidRDefault="006A4C5D" w:rsidP="006A4C5D">
      <w:pPr>
        <w:numPr>
          <w:ilvl w:val="0"/>
          <w:numId w:val="2"/>
        </w:numPr>
        <w:jc w:val="both"/>
        <w:rPr>
          <w:sz w:val="24"/>
          <w:szCs w:val="24"/>
        </w:rPr>
      </w:pPr>
      <w:r w:rsidRPr="00661FF1">
        <w:rPr>
          <w:sz w:val="24"/>
          <w:szCs w:val="24"/>
        </w:rPr>
        <w:t>specijalističko-konzilijarne i bolničke zdravstvene zaštite</w:t>
      </w:r>
    </w:p>
    <w:p w:rsidR="006A4C5D" w:rsidRPr="00661FF1" w:rsidRDefault="006A4C5D" w:rsidP="006A4C5D">
      <w:pPr>
        <w:numPr>
          <w:ilvl w:val="0"/>
          <w:numId w:val="2"/>
        </w:numPr>
        <w:jc w:val="both"/>
        <w:rPr>
          <w:sz w:val="24"/>
          <w:szCs w:val="24"/>
        </w:rPr>
      </w:pPr>
      <w:r w:rsidRPr="00661FF1">
        <w:rPr>
          <w:sz w:val="24"/>
          <w:szCs w:val="24"/>
        </w:rPr>
        <w:t>znanstvenog rada za djelatnost za koju je osnovana</w:t>
      </w:r>
    </w:p>
    <w:p w:rsidR="006A4C5D" w:rsidRDefault="006A4C5D" w:rsidP="006A4C5D">
      <w:pPr>
        <w:numPr>
          <w:ilvl w:val="0"/>
          <w:numId w:val="2"/>
        </w:numPr>
        <w:jc w:val="both"/>
        <w:rPr>
          <w:sz w:val="24"/>
          <w:szCs w:val="24"/>
        </w:rPr>
      </w:pPr>
      <w:r w:rsidRPr="00661FF1">
        <w:rPr>
          <w:sz w:val="24"/>
          <w:szCs w:val="24"/>
        </w:rPr>
        <w:t>ustrojavanje, provođenje i unapređivanje nastave u obrazovanju zdravstvenih djelatnika</w:t>
      </w:r>
    </w:p>
    <w:p w:rsidR="006A4C5D" w:rsidRDefault="006A4C5D" w:rsidP="006A4C5D">
      <w:pPr>
        <w:ind w:left="360"/>
        <w:jc w:val="both"/>
        <w:rPr>
          <w:sz w:val="24"/>
          <w:szCs w:val="24"/>
        </w:rPr>
      </w:pPr>
    </w:p>
    <w:p w:rsidR="006A4C5D" w:rsidRPr="00661FF1" w:rsidRDefault="006A4C5D" w:rsidP="006A4C5D">
      <w:pPr>
        <w:jc w:val="both"/>
        <w:rPr>
          <w:sz w:val="24"/>
          <w:szCs w:val="24"/>
        </w:rPr>
      </w:pPr>
      <w:r w:rsidRPr="00154370">
        <w:rPr>
          <w:sz w:val="24"/>
          <w:szCs w:val="24"/>
        </w:rPr>
        <w:t>Klinika je nastavna baza Medicinskog fakulteta Rijeka</w:t>
      </w:r>
      <w:r>
        <w:rPr>
          <w:sz w:val="24"/>
          <w:szCs w:val="24"/>
        </w:rPr>
        <w:t>, te</w:t>
      </w:r>
      <w:r w:rsidRPr="00154370">
        <w:rPr>
          <w:sz w:val="24"/>
          <w:szCs w:val="24"/>
        </w:rPr>
        <w:t xml:space="preserve"> Referentni centar Ministarstva zdravstva za bolesti i ozljede koljenskog zgloba.</w:t>
      </w:r>
    </w:p>
    <w:p w:rsidR="006A4C5D" w:rsidRDefault="006A4C5D" w:rsidP="006A4C5D"/>
    <w:p w:rsidR="006A4C5D" w:rsidRDefault="006A4C5D" w:rsidP="006A4C5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46C1" w:rsidRDefault="004846C1" w:rsidP="006A4C5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4C5D" w:rsidRDefault="006A4C5D" w:rsidP="006A4C5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06AE">
        <w:rPr>
          <w:rFonts w:ascii="Times New Roman" w:hAnsi="Times New Roman" w:cs="Times New Roman"/>
          <w:b/>
          <w:color w:val="auto"/>
          <w:sz w:val="28"/>
          <w:szCs w:val="28"/>
        </w:rPr>
        <w:t>ZAKONSKI OKVIR</w:t>
      </w:r>
    </w:p>
    <w:p w:rsidR="00624D12" w:rsidRDefault="00624D12" w:rsidP="006A4C5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4D12" w:rsidRPr="00624D12" w:rsidRDefault="00624D12" w:rsidP="004846C1">
      <w:pPr>
        <w:numPr>
          <w:ilvl w:val="0"/>
          <w:numId w:val="2"/>
        </w:numPr>
        <w:jc w:val="both"/>
        <w:rPr>
          <w:sz w:val="24"/>
          <w:szCs w:val="24"/>
        </w:rPr>
      </w:pPr>
      <w:r w:rsidRPr="00624D12">
        <w:rPr>
          <w:sz w:val="24"/>
          <w:szCs w:val="24"/>
        </w:rPr>
        <w:t>Zakon o proračunu (Narodne novine, br. 87/08, 136/12 i 15/15, 144/21)</w:t>
      </w:r>
    </w:p>
    <w:p w:rsidR="00624D12" w:rsidRPr="00624D12" w:rsidRDefault="00624D12" w:rsidP="004846C1">
      <w:pPr>
        <w:numPr>
          <w:ilvl w:val="0"/>
          <w:numId w:val="2"/>
        </w:numPr>
        <w:jc w:val="both"/>
        <w:rPr>
          <w:sz w:val="24"/>
          <w:szCs w:val="24"/>
        </w:rPr>
      </w:pPr>
      <w:r w:rsidRPr="00624D12">
        <w:rPr>
          <w:sz w:val="24"/>
          <w:szCs w:val="24"/>
        </w:rPr>
        <w:t xml:space="preserve">Zakon o izvršavanju Državnog proračuna Republike Hrvatske  </w:t>
      </w:r>
      <w:bookmarkStart w:id="1" w:name="OLE_LINK3"/>
      <w:r w:rsidRPr="00624D12">
        <w:rPr>
          <w:sz w:val="24"/>
          <w:szCs w:val="24"/>
        </w:rPr>
        <w:t>(Narodne novine, br.</w:t>
      </w:r>
      <w:bookmarkEnd w:id="1"/>
      <w:r w:rsidRPr="00624D12">
        <w:rPr>
          <w:sz w:val="24"/>
          <w:szCs w:val="24"/>
        </w:rPr>
        <w:t xml:space="preserve"> 134/20,69/21,122/21,62/22, 131/22)</w:t>
      </w:r>
    </w:p>
    <w:p w:rsidR="00624D12" w:rsidRPr="00624D12" w:rsidRDefault="00624D12" w:rsidP="004846C1">
      <w:pPr>
        <w:numPr>
          <w:ilvl w:val="0"/>
          <w:numId w:val="2"/>
        </w:numPr>
        <w:jc w:val="both"/>
        <w:rPr>
          <w:sz w:val="24"/>
          <w:szCs w:val="24"/>
        </w:rPr>
      </w:pPr>
      <w:r w:rsidRPr="00624D12">
        <w:rPr>
          <w:sz w:val="24"/>
          <w:szCs w:val="24"/>
        </w:rPr>
        <w:t>Pravilnik o proračunskom računovodstvu i računskom planu (Narodne novine, br. 124/14, 115/15 i 87/16, 108/20)</w:t>
      </w:r>
    </w:p>
    <w:p w:rsidR="00624D12" w:rsidRPr="00624D12" w:rsidRDefault="00624D12" w:rsidP="004846C1">
      <w:pPr>
        <w:numPr>
          <w:ilvl w:val="0"/>
          <w:numId w:val="2"/>
        </w:numPr>
        <w:jc w:val="both"/>
        <w:rPr>
          <w:sz w:val="24"/>
          <w:szCs w:val="24"/>
        </w:rPr>
      </w:pPr>
      <w:r w:rsidRPr="00624D12">
        <w:rPr>
          <w:sz w:val="24"/>
          <w:szCs w:val="24"/>
        </w:rPr>
        <w:t>Pravilnik o financijskom izvještavanju u proračunskom računovodstvu (Narodne novine,37/22)</w:t>
      </w:r>
    </w:p>
    <w:p w:rsidR="00624D12" w:rsidRPr="00624D12" w:rsidRDefault="00624D12" w:rsidP="004846C1">
      <w:pPr>
        <w:numPr>
          <w:ilvl w:val="0"/>
          <w:numId w:val="2"/>
        </w:numPr>
        <w:jc w:val="both"/>
        <w:rPr>
          <w:sz w:val="24"/>
          <w:szCs w:val="24"/>
        </w:rPr>
      </w:pPr>
      <w:r w:rsidRPr="00624D12">
        <w:rPr>
          <w:sz w:val="24"/>
          <w:szCs w:val="24"/>
        </w:rPr>
        <w:t>Pravilnik o proračunskim klasifikacijama (Narodne novine, br. 26/10 ,120/13,1/20)</w:t>
      </w:r>
    </w:p>
    <w:p w:rsidR="006A4C5D" w:rsidRPr="004846C1" w:rsidRDefault="006A4C5D" w:rsidP="004846C1">
      <w:pPr>
        <w:ind w:left="720"/>
        <w:jc w:val="both"/>
        <w:rPr>
          <w:sz w:val="24"/>
          <w:szCs w:val="24"/>
        </w:rPr>
      </w:pPr>
    </w:p>
    <w:p w:rsidR="006A4C5D" w:rsidRDefault="006A4C5D" w:rsidP="006A4C5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7461AB">
        <w:rPr>
          <w:b/>
          <w:sz w:val="26"/>
          <w:szCs w:val="26"/>
        </w:rPr>
        <w:lastRenderedPageBreak/>
        <w:t>BILJEŠKE UZ OBRAZAC</w:t>
      </w:r>
      <w:r>
        <w:rPr>
          <w:b/>
          <w:sz w:val="26"/>
          <w:szCs w:val="26"/>
        </w:rPr>
        <w:t xml:space="preserve"> BILANCE</w:t>
      </w:r>
    </w:p>
    <w:p w:rsidR="006A4C5D" w:rsidRDefault="006A4C5D" w:rsidP="006A4C5D">
      <w:pPr>
        <w:rPr>
          <w:b/>
          <w:sz w:val="26"/>
          <w:szCs w:val="26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sz w:val="24"/>
          <w:szCs w:val="24"/>
        </w:rPr>
        <w:t>Obrazac Bilance je izrađen temeljem podataka sadržanih u Glavnoj knjizi. Klinika za ortopediju Lovran je od 01. siječnja 2018. godine uključena u sustav državne riznice, tako da se sva plaćanja izvršavaju preko jedinstvenog računa državnog proračuna. Jednakosti među pojedinim pozicijama Bilance proizlaze iz propisanih knjigovodstvenih evidencija tako da AOP 001 Imovina = AOP 162 Obveze + AOP 224 Vlastiti izvori.</w:t>
      </w:r>
    </w:p>
    <w:p w:rsidR="00712EDD" w:rsidRPr="00712EDD" w:rsidRDefault="00712EDD" w:rsidP="00712EDD">
      <w:pPr>
        <w:jc w:val="both"/>
        <w:rPr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sz w:val="24"/>
          <w:szCs w:val="24"/>
        </w:rPr>
        <w:t>Za ispravak vrijednosti dugotrajne imovine korištene su stope propisane prema važećem Pravilniku o računovodstvu i računskom planu za proračun.</w:t>
      </w:r>
    </w:p>
    <w:p w:rsidR="00712EDD" w:rsidRPr="00712EDD" w:rsidRDefault="00712EDD" w:rsidP="00712EDD">
      <w:pPr>
        <w:jc w:val="both"/>
        <w:rPr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sz w:val="24"/>
          <w:szCs w:val="24"/>
        </w:rPr>
        <w:t>Prema članku 13. Pravilnika o financijskom izvještavanju u proračunskom računovodstvu dajemo obrazloženje postojanja značajnijih razlika stanja 1. siječnja i stanja 31. prosinca 202</w:t>
      </w:r>
      <w:r w:rsidR="003C71B2">
        <w:rPr>
          <w:sz w:val="24"/>
          <w:szCs w:val="24"/>
        </w:rPr>
        <w:t>3</w:t>
      </w:r>
      <w:r w:rsidRPr="00712EDD">
        <w:rPr>
          <w:sz w:val="24"/>
          <w:szCs w:val="24"/>
        </w:rPr>
        <w:t>. godine:</w:t>
      </w:r>
    </w:p>
    <w:p w:rsidR="00712EDD" w:rsidRPr="00712EDD" w:rsidRDefault="00712EDD" w:rsidP="00712EDD">
      <w:pPr>
        <w:jc w:val="both"/>
        <w:rPr>
          <w:sz w:val="24"/>
          <w:szCs w:val="24"/>
        </w:rPr>
      </w:pPr>
    </w:p>
    <w:p w:rsidR="00712EDD" w:rsidRPr="00712EDD" w:rsidRDefault="00712EDD" w:rsidP="00712EDD">
      <w:pPr>
        <w:jc w:val="both"/>
      </w:pPr>
    </w:p>
    <w:p w:rsidR="00712EDD" w:rsidRDefault="00712EDD" w:rsidP="00712EDD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 xml:space="preserve">Bilješka uz šifru B002 Nefinancijska imovina: </w:t>
      </w:r>
      <w:r w:rsidRPr="00712EDD">
        <w:rPr>
          <w:sz w:val="24"/>
          <w:szCs w:val="24"/>
        </w:rPr>
        <w:t xml:space="preserve">nefinancijska imovina u izvještajnom razdoblju, ukupno je veća za </w:t>
      </w:r>
      <w:r w:rsidR="00B77D60">
        <w:rPr>
          <w:sz w:val="24"/>
          <w:szCs w:val="24"/>
        </w:rPr>
        <w:t>2,6</w:t>
      </w:r>
      <w:r w:rsidRPr="00712EDD">
        <w:rPr>
          <w:sz w:val="24"/>
          <w:szCs w:val="24"/>
        </w:rPr>
        <w:t>% u odnosu na izvještajno razdoblje prethodne godine zbog nabave novih uređaja i opreme</w:t>
      </w:r>
      <w:r w:rsidR="00B77D60">
        <w:rPr>
          <w:sz w:val="24"/>
          <w:szCs w:val="24"/>
        </w:rPr>
        <w:t>.</w:t>
      </w:r>
      <w:r w:rsidRPr="00712EDD">
        <w:rPr>
          <w:sz w:val="24"/>
          <w:szCs w:val="24"/>
        </w:rPr>
        <w:t xml:space="preserve"> Za svu nabavljenu imovinu ishodovana je suglasnost Ministarstva zdravstva.</w:t>
      </w:r>
    </w:p>
    <w:p w:rsidR="00384CDB" w:rsidRDefault="00384CDB" w:rsidP="00712EDD">
      <w:pPr>
        <w:jc w:val="both"/>
        <w:rPr>
          <w:sz w:val="24"/>
          <w:szCs w:val="24"/>
        </w:rPr>
      </w:pPr>
    </w:p>
    <w:p w:rsidR="00384CDB" w:rsidRDefault="00790F9A" w:rsidP="00712EDD">
      <w:pPr>
        <w:jc w:val="both"/>
        <w:rPr>
          <w:b/>
          <w:i/>
          <w:sz w:val="24"/>
          <w:szCs w:val="24"/>
        </w:rPr>
      </w:pPr>
      <w:r w:rsidRPr="00790F9A">
        <w:rPr>
          <w:b/>
          <w:i/>
          <w:sz w:val="24"/>
          <w:szCs w:val="24"/>
        </w:rPr>
        <w:t>Bilješka uz šifru 061 Zalihe za obavljanje djelatnosti</w:t>
      </w:r>
      <w:r>
        <w:rPr>
          <w:b/>
          <w:i/>
          <w:sz w:val="24"/>
          <w:szCs w:val="24"/>
        </w:rPr>
        <w:t>:</w:t>
      </w:r>
    </w:p>
    <w:p w:rsidR="00916B33" w:rsidRDefault="00916B33" w:rsidP="00712EDD">
      <w:pPr>
        <w:jc w:val="both"/>
        <w:rPr>
          <w:sz w:val="24"/>
          <w:szCs w:val="24"/>
        </w:rPr>
      </w:pPr>
      <w:r>
        <w:rPr>
          <w:sz w:val="24"/>
          <w:szCs w:val="24"/>
        </w:rPr>
        <w:t>Na dan 31.12.2023.g. zalihe su manje za 9,5%.</w:t>
      </w:r>
    </w:p>
    <w:p w:rsidR="00015E60" w:rsidRDefault="00015E60" w:rsidP="00712EDD">
      <w:pPr>
        <w:jc w:val="both"/>
        <w:rPr>
          <w:sz w:val="24"/>
          <w:szCs w:val="24"/>
        </w:rPr>
      </w:pPr>
    </w:p>
    <w:p w:rsidR="00790F9A" w:rsidRDefault="00790F9A" w:rsidP="00712EDD">
      <w:pPr>
        <w:jc w:val="both"/>
        <w:rPr>
          <w:sz w:val="24"/>
          <w:szCs w:val="24"/>
        </w:rPr>
      </w:pPr>
      <w:r>
        <w:rPr>
          <w:sz w:val="24"/>
          <w:szCs w:val="24"/>
        </w:rPr>
        <w:t>Tabelarni prikaz stanja zaliha na dan 31.12.2023.:</w:t>
      </w:r>
    </w:p>
    <w:tbl>
      <w:tblPr>
        <w:tblW w:w="11000" w:type="dxa"/>
        <w:tblInd w:w="93" w:type="dxa"/>
        <w:tblLook w:val="04A0" w:firstRow="1" w:lastRow="0" w:firstColumn="1" w:lastColumn="0" w:noHBand="0" w:noVBand="1"/>
      </w:tblPr>
      <w:tblGrid>
        <w:gridCol w:w="680"/>
        <w:gridCol w:w="6281"/>
        <w:gridCol w:w="2126"/>
        <w:gridCol w:w="1913"/>
      </w:tblGrid>
      <w:tr w:rsidR="00916B33" w:rsidRPr="00EB3BBF" w:rsidTr="00015E60">
        <w:trPr>
          <w:trHeight w:val="47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3BBF">
              <w:rPr>
                <w:rFonts w:ascii="Arial" w:hAnsi="Arial" w:cs="Arial"/>
                <w:b/>
                <w:bCs/>
                <w:color w:val="000000"/>
              </w:rPr>
              <w:t>Zalihe na dan 31.12.2023.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  <w:tr w:rsidR="00916B33" w:rsidRPr="00EB3BBF" w:rsidTr="00015E6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- lijekova i potrošnog medicinskog materijala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right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58.585,80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  <w:tr w:rsidR="00916B33" w:rsidRPr="00EB3BBF" w:rsidTr="00015E6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- krvi i krvnih pripravaka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  <w:tr w:rsidR="00916B33" w:rsidRPr="00EB3BBF" w:rsidTr="00015E6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- živežnih namirnica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right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2.745,30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  <w:tr w:rsidR="00916B33" w:rsidRPr="00EB3BBF" w:rsidTr="00015E6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- ostale zalihe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right"/>
              <w:rPr>
                <w:rFonts w:ascii="Arial" w:hAnsi="Arial" w:cs="Arial"/>
                <w:color w:val="000000"/>
              </w:rPr>
            </w:pPr>
            <w:r w:rsidRPr="00EB3BBF">
              <w:rPr>
                <w:rFonts w:ascii="Arial" w:hAnsi="Arial" w:cs="Arial"/>
                <w:color w:val="000000"/>
              </w:rPr>
              <w:t>14.944,21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  <w:tr w:rsidR="00916B33" w:rsidRPr="00EB3BBF" w:rsidTr="00015E6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3B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3BBF">
              <w:rPr>
                <w:rFonts w:ascii="Arial" w:hAnsi="Arial" w:cs="Arial"/>
                <w:b/>
                <w:bCs/>
                <w:color w:val="000000"/>
              </w:rPr>
              <w:t>UKUPNE ZALIHE: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33" w:rsidRPr="00EB3BBF" w:rsidRDefault="00916B33" w:rsidP="00A566C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B3BBF">
              <w:rPr>
                <w:rFonts w:ascii="Arial" w:hAnsi="Arial" w:cs="Arial"/>
                <w:b/>
                <w:bCs/>
                <w:color w:val="000000"/>
              </w:rPr>
              <w:t>76.275,31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33" w:rsidRPr="00EB3BBF" w:rsidRDefault="00916B33" w:rsidP="00A566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16B33" w:rsidRPr="00790F9A" w:rsidRDefault="00916B33" w:rsidP="00712EDD">
      <w:pPr>
        <w:jc w:val="both"/>
        <w:rPr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 xml:space="preserve">Bilješka uz šifru 1 Financijska imovina: </w:t>
      </w:r>
      <w:r w:rsidRPr="00712EDD">
        <w:rPr>
          <w:sz w:val="24"/>
          <w:szCs w:val="24"/>
        </w:rPr>
        <w:t xml:space="preserve">prikazuje povećanje financijske imovine za </w:t>
      </w:r>
      <w:r w:rsidR="00AD6ED8">
        <w:rPr>
          <w:sz w:val="24"/>
          <w:szCs w:val="24"/>
        </w:rPr>
        <w:t>76,9</w:t>
      </w:r>
      <w:r w:rsidRPr="00712EDD">
        <w:rPr>
          <w:sz w:val="24"/>
          <w:szCs w:val="24"/>
        </w:rPr>
        <w:t xml:space="preserve">% uslijed rasta potraživanja za </w:t>
      </w:r>
      <w:r w:rsidR="008E0BF3">
        <w:rPr>
          <w:sz w:val="24"/>
          <w:szCs w:val="24"/>
        </w:rPr>
        <w:t>refundaciju bolovanja od strane HZZO-a</w:t>
      </w:r>
      <w:r w:rsidR="007B1573">
        <w:rPr>
          <w:sz w:val="24"/>
          <w:szCs w:val="24"/>
        </w:rPr>
        <w:t xml:space="preserve">, </w:t>
      </w:r>
      <w:r w:rsidRPr="00712EDD">
        <w:rPr>
          <w:sz w:val="24"/>
          <w:szCs w:val="24"/>
        </w:rPr>
        <w:t>potraživanja za liječenje državljana Ukrajine</w:t>
      </w:r>
      <w:r w:rsidR="007B1573">
        <w:rPr>
          <w:sz w:val="24"/>
          <w:szCs w:val="24"/>
        </w:rPr>
        <w:t xml:space="preserve"> od strane Ministarstva zdravstva</w:t>
      </w:r>
      <w:r w:rsidRPr="00712EDD">
        <w:rPr>
          <w:sz w:val="24"/>
          <w:szCs w:val="24"/>
        </w:rPr>
        <w:t xml:space="preserve">, </w:t>
      </w:r>
      <w:r w:rsidR="007B1573">
        <w:rPr>
          <w:sz w:val="24"/>
          <w:szCs w:val="24"/>
        </w:rPr>
        <w:t>potraživanja od ugovorenih dobavljača za ra</w:t>
      </w:r>
      <w:r w:rsidR="00FC585E">
        <w:rPr>
          <w:sz w:val="24"/>
          <w:szCs w:val="24"/>
        </w:rPr>
        <w:t>z</w:t>
      </w:r>
      <w:r w:rsidR="007B1573">
        <w:rPr>
          <w:sz w:val="24"/>
          <w:szCs w:val="24"/>
        </w:rPr>
        <w:t>liku u cijeni uslijed nemogućnosti isporuke</w:t>
      </w:r>
      <w:r w:rsidR="00FC585E">
        <w:rPr>
          <w:sz w:val="24"/>
          <w:szCs w:val="24"/>
        </w:rPr>
        <w:t xml:space="preserve"> ugovorenih artikala,</w:t>
      </w:r>
      <w:r w:rsidR="007B1573">
        <w:rPr>
          <w:sz w:val="24"/>
          <w:szCs w:val="24"/>
        </w:rPr>
        <w:t xml:space="preserve"> </w:t>
      </w:r>
      <w:r w:rsidRPr="00712EDD">
        <w:rPr>
          <w:sz w:val="24"/>
          <w:szCs w:val="24"/>
        </w:rPr>
        <w:t>te najvećim dijelom za rast potraživanja za sredstva uplaćena u nadležni proračun.</w:t>
      </w:r>
    </w:p>
    <w:p w:rsidR="00712EDD" w:rsidRPr="00712EDD" w:rsidRDefault="00712EDD" w:rsidP="00712EDD">
      <w:pPr>
        <w:jc w:val="both"/>
        <w:rPr>
          <w:b/>
          <w:i/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>Bilješka uz šifru 16 Potraživanja za prihode poslovanja</w:t>
      </w:r>
      <w:r w:rsidRPr="00712EDD">
        <w:rPr>
          <w:sz w:val="24"/>
          <w:szCs w:val="24"/>
        </w:rPr>
        <w:t xml:space="preserve"> bilježe rast od </w:t>
      </w:r>
      <w:r w:rsidR="007A41D4">
        <w:rPr>
          <w:sz w:val="24"/>
          <w:szCs w:val="24"/>
        </w:rPr>
        <w:t>88,2</w:t>
      </w:r>
      <w:r w:rsidRPr="00712EDD">
        <w:rPr>
          <w:sz w:val="24"/>
          <w:szCs w:val="24"/>
        </w:rPr>
        <w:t>% zbog porasta potraživanja za pružene zdravstvene usluge državljanima Ukrajine (šifra 166)</w:t>
      </w:r>
      <w:r w:rsidR="0099383A">
        <w:rPr>
          <w:sz w:val="24"/>
          <w:szCs w:val="24"/>
        </w:rPr>
        <w:t>,</w:t>
      </w:r>
      <w:r w:rsidRPr="00712EDD">
        <w:rPr>
          <w:sz w:val="24"/>
          <w:szCs w:val="24"/>
        </w:rPr>
        <w:t xml:space="preserve"> porasta potraživanja</w:t>
      </w:r>
      <w:r w:rsidR="00AC14CE">
        <w:rPr>
          <w:sz w:val="24"/>
          <w:szCs w:val="24"/>
        </w:rPr>
        <w:t xml:space="preserve"> za 94,5%</w:t>
      </w:r>
      <w:r w:rsidRPr="00712EDD">
        <w:rPr>
          <w:sz w:val="24"/>
          <w:szCs w:val="24"/>
        </w:rPr>
        <w:t xml:space="preserve"> Klinike za sredstva uplaćena</w:t>
      </w:r>
      <w:r w:rsidR="00AC14CE">
        <w:rPr>
          <w:sz w:val="24"/>
          <w:szCs w:val="24"/>
        </w:rPr>
        <w:t xml:space="preserve"> u državni proračun (šifra 167), te porasta potraživanja za 207,4% za razliku u cijeni uslijed nemogućnosti isporuke ugovorenih artikala</w:t>
      </w:r>
      <w:r w:rsidR="00E208AF">
        <w:rPr>
          <w:sz w:val="24"/>
          <w:szCs w:val="24"/>
        </w:rPr>
        <w:t xml:space="preserve"> (šifra 168).</w:t>
      </w:r>
    </w:p>
    <w:p w:rsidR="00712EDD" w:rsidRPr="00712EDD" w:rsidRDefault="00712EDD" w:rsidP="00712EDD">
      <w:pPr>
        <w:rPr>
          <w:b/>
          <w:i/>
          <w:sz w:val="24"/>
          <w:szCs w:val="24"/>
        </w:rPr>
      </w:pPr>
    </w:p>
    <w:p w:rsidR="00712EDD" w:rsidRDefault="00712EDD" w:rsidP="00712EDD">
      <w:pPr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 xml:space="preserve">Bilješka uz šifru B003 Obveze i vlastiti izvori </w:t>
      </w:r>
      <w:r w:rsidR="00B66E7C">
        <w:rPr>
          <w:sz w:val="24"/>
          <w:szCs w:val="24"/>
        </w:rPr>
        <w:t>prikazuju</w:t>
      </w:r>
      <w:r w:rsidRPr="00712EDD">
        <w:rPr>
          <w:sz w:val="24"/>
          <w:szCs w:val="24"/>
        </w:rPr>
        <w:t xml:space="preserve"> povećanje obveza za </w:t>
      </w:r>
      <w:r w:rsidR="00B66E7C">
        <w:rPr>
          <w:sz w:val="24"/>
          <w:szCs w:val="24"/>
        </w:rPr>
        <w:t>571</w:t>
      </w:r>
      <w:r w:rsidRPr="00712EDD">
        <w:rPr>
          <w:sz w:val="24"/>
          <w:szCs w:val="24"/>
        </w:rPr>
        <w:t xml:space="preserve">% (šifra 2) i </w:t>
      </w:r>
      <w:r w:rsidR="00065260">
        <w:rPr>
          <w:sz w:val="24"/>
          <w:szCs w:val="24"/>
        </w:rPr>
        <w:t>smanjenje</w:t>
      </w:r>
      <w:r w:rsidRPr="00712EDD">
        <w:rPr>
          <w:sz w:val="24"/>
          <w:szCs w:val="24"/>
        </w:rPr>
        <w:t xml:space="preserve"> vlastitih izvora (šifra 9).</w:t>
      </w:r>
    </w:p>
    <w:p w:rsidR="0071594B" w:rsidRDefault="0071594B" w:rsidP="00712EDD">
      <w:pPr>
        <w:rPr>
          <w:sz w:val="24"/>
          <w:szCs w:val="24"/>
        </w:rPr>
      </w:pPr>
    </w:p>
    <w:p w:rsidR="00712EDD" w:rsidRDefault="0071594B" w:rsidP="0099383A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lastRenderedPageBreak/>
        <w:t>Bilješka uz šifru</w:t>
      </w:r>
      <w:r>
        <w:rPr>
          <w:b/>
          <w:i/>
          <w:sz w:val="24"/>
          <w:szCs w:val="24"/>
        </w:rPr>
        <w:t xml:space="preserve"> 231 Obveze za zaposlene</w:t>
      </w:r>
      <w:r w:rsidR="006E0553">
        <w:rPr>
          <w:b/>
          <w:i/>
          <w:sz w:val="24"/>
          <w:szCs w:val="24"/>
        </w:rPr>
        <w:t xml:space="preserve"> </w:t>
      </w:r>
      <w:r w:rsidR="006E0553" w:rsidRPr="006E0553">
        <w:rPr>
          <w:sz w:val="24"/>
          <w:szCs w:val="24"/>
        </w:rPr>
        <w:t>veće su za 21,1%</w:t>
      </w:r>
      <w:r w:rsidR="006E0553">
        <w:rPr>
          <w:sz w:val="24"/>
          <w:szCs w:val="24"/>
        </w:rPr>
        <w:t xml:space="preserve"> u odnosu na obveze na dan 01.01.2023.g. zbog:</w:t>
      </w:r>
    </w:p>
    <w:p w:rsidR="006E0553" w:rsidRDefault="006E0553" w:rsidP="00993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uvećanja osnovice plaće državnim i javnim službama od </w:t>
      </w:r>
      <w:r w:rsidR="001F1CC5">
        <w:rPr>
          <w:sz w:val="24"/>
          <w:szCs w:val="24"/>
        </w:rPr>
        <w:t>01.04.2023.g. za 2%</w:t>
      </w:r>
    </w:p>
    <w:p w:rsidR="00B14019" w:rsidRDefault="00B14019" w:rsidP="00993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isplate </w:t>
      </w:r>
      <w:r w:rsidRPr="00B14019">
        <w:rPr>
          <w:sz w:val="24"/>
          <w:szCs w:val="24"/>
        </w:rPr>
        <w:t>privremenog dodatka na plaću i to u bruto iznosima od 163,62 eura, 130,89 eura i 98,17 eura mjesečno za radna mjesta s koeficijentima u rasponu od 0,631 do 1,867</w:t>
      </w:r>
      <w:r>
        <w:rPr>
          <w:sz w:val="24"/>
          <w:szCs w:val="24"/>
        </w:rPr>
        <w:t xml:space="preserve"> sukladno Odluci Vlade</w:t>
      </w:r>
    </w:p>
    <w:p w:rsidR="00E01521" w:rsidRDefault="00E01521" w:rsidP="00B14019">
      <w:pPr>
        <w:rPr>
          <w:sz w:val="24"/>
          <w:szCs w:val="24"/>
        </w:rPr>
      </w:pPr>
    </w:p>
    <w:p w:rsidR="004860DE" w:rsidRPr="004053A4" w:rsidRDefault="00E01521" w:rsidP="004860DE">
      <w:pPr>
        <w:jc w:val="both"/>
        <w:rPr>
          <w:sz w:val="26"/>
          <w:szCs w:val="26"/>
        </w:rPr>
      </w:pPr>
      <w:r w:rsidRPr="00712EDD">
        <w:rPr>
          <w:b/>
          <w:i/>
          <w:sz w:val="24"/>
          <w:szCs w:val="24"/>
        </w:rPr>
        <w:t>Bilješka uz šifru</w:t>
      </w:r>
      <w:r>
        <w:rPr>
          <w:b/>
          <w:i/>
          <w:sz w:val="24"/>
          <w:szCs w:val="24"/>
        </w:rPr>
        <w:t xml:space="preserve"> 239 Ostale tekuće obveze </w:t>
      </w:r>
      <w:r>
        <w:rPr>
          <w:sz w:val="24"/>
          <w:szCs w:val="24"/>
        </w:rPr>
        <w:t>bilježi povećanje od 4.803% uslijed storniranja prihoda HZZO-a</w:t>
      </w:r>
      <w:r w:rsidR="00964148">
        <w:rPr>
          <w:sz w:val="24"/>
          <w:szCs w:val="24"/>
        </w:rPr>
        <w:t xml:space="preserve"> za period </w:t>
      </w:r>
      <w:r w:rsidR="004860DE">
        <w:rPr>
          <w:sz w:val="24"/>
          <w:szCs w:val="24"/>
        </w:rPr>
        <w:t>od 2020.</w:t>
      </w:r>
      <w:r w:rsidR="00964148">
        <w:rPr>
          <w:sz w:val="24"/>
          <w:szCs w:val="24"/>
        </w:rPr>
        <w:t xml:space="preserve"> do 2</w:t>
      </w:r>
      <w:r w:rsidR="004860DE">
        <w:rPr>
          <w:sz w:val="24"/>
          <w:szCs w:val="24"/>
        </w:rPr>
        <w:t xml:space="preserve">023.g. </w:t>
      </w:r>
      <w:r w:rsidR="00964148">
        <w:rPr>
          <w:sz w:val="24"/>
          <w:szCs w:val="24"/>
        </w:rPr>
        <w:t xml:space="preserve">u iznosu od 6.189.588,74 eura. </w:t>
      </w:r>
      <w:r w:rsidR="00000C20">
        <w:rPr>
          <w:sz w:val="24"/>
          <w:szCs w:val="24"/>
        </w:rPr>
        <w:t xml:space="preserve">Storniranjem prihoda HZZO-a za navedeni iznos, povećava se stavka Obveza za neizvršeni rad prema HZZO-u. </w:t>
      </w:r>
      <w:r w:rsidR="004860DE" w:rsidRPr="004053A4">
        <w:rPr>
          <w:sz w:val="24"/>
          <w:szCs w:val="24"/>
        </w:rPr>
        <w:t>Navedeni</w:t>
      </w:r>
      <w:r w:rsidR="00004E3A">
        <w:rPr>
          <w:sz w:val="24"/>
          <w:szCs w:val="24"/>
        </w:rPr>
        <w:t xml:space="preserve"> (stornirani)</w:t>
      </w:r>
      <w:r w:rsidR="004860DE" w:rsidRPr="004053A4">
        <w:rPr>
          <w:sz w:val="24"/>
          <w:szCs w:val="24"/>
        </w:rPr>
        <w:t xml:space="preserve"> iznos Klinika nije uspjela opravdati izvršenim uslugama uslijed permanentnog problema s opskrbom krvi i krvnim pripravcima  koji su počeli u 2020. godini nakon obustave pružanja redovnih zdravstvenih usluga uslijed pandemije Covid-19. Klinika sada obavlja puno više zahvata koji ne zahtijevaju krv i krvne pripravke, a koji pripadaju dijagnostičko terapijskim skupinama (DTS) koje se financijski značajno manje vrednuju u odnosu na operativne zahvate koji zahtijevaju krv i krvne pripravake. Navedenim načinom rada Klinika ima smanjenu fakturnu realizaciju izvršenih usluga i ne može ostvariti limit iako radi punim kapacitetom</w:t>
      </w:r>
    </w:p>
    <w:p w:rsidR="00B14019" w:rsidRDefault="00B14019" w:rsidP="00712EDD">
      <w:pPr>
        <w:rPr>
          <w:sz w:val="24"/>
          <w:szCs w:val="24"/>
        </w:rPr>
      </w:pPr>
    </w:p>
    <w:p w:rsidR="00712EDD" w:rsidRPr="00712EDD" w:rsidRDefault="00712EDD" w:rsidP="00712EDD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>Bilješka uz šifru 9222 Manjak prih</w:t>
      </w:r>
      <w:r w:rsidR="0071594B">
        <w:rPr>
          <w:b/>
          <w:i/>
          <w:sz w:val="24"/>
          <w:szCs w:val="24"/>
        </w:rPr>
        <w:t>o</w:t>
      </w:r>
      <w:r w:rsidRPr="00712EDD">
        <w:rPr>
          <w:b/>
          <w:i/>
          <w:sz w:val="24"/>
          <w:szCs w:val="24"/>
        </w:rPr>
        <w:t xml:space="preserve">da </w:t>
      </w:r>
      <w:r w:rsidRPr="00712EDD">
        <w:rPr>
          <w:sz w:val="24"/>
          <w:szCs w:val="24"/>
        </w:rPr>
        <w:t>se odnosi</w:t>
      </w:r>
      <w:r w:rsidR="00B31709">
        <w:rPr>
          <w:sz w:val="24"/>
          <w:szCs w:val="24"/>
        </w:rPr>
        <w:t xml:space="preserve"> na </w:t>
      </w:r>
      <w:r w:rsidRPr="00712EDD">
        <w:rPr>
          <w:sz w:val="24"/>
          <w:szCs w:val="24"/>
        </w:rPr>
        <w:t xml:space="preserve">preneseni manjak iz prethodnih razdoblja koji je u ovoj godini </w:t>
      </w:r>
      <w:r w:rsidR="00B31709">
        <w:rPr>
          <w:sz w:val="24"/>
          <w:szCs w:val="24"/>
        </w:rPr>
        <w:t xml:space="preserve">uvećan </w:t>
      </w:r>
      <w:r w:rsidRPr="00712EDD">
        <w:rPr>
          <w:sz w:val="24"/>
          <w:szCs w:val="24"/>
        </w:rPr>
        <w:t xml:space="preserve">za </w:t>
      </w:r>
      <w:r w:rsidR="00B31709">
        <w:rPr>
          <w:sz w:val="24"/>
          <w:szCs w:val="24"/>
        </w:rPr>
        <w:t>2.315,1% kao rezultat</w:t>
      </w:r>
      <w:r w:rsidR="00CE6947">
        <w:rPr>
          <w:sz w:val="24"/>
          <w:szCs w:val="24"/>
        </w:rPr>
        <w:t xml:space="preserve"> storniranja prihoda HZZO-a, te istovremenog prijenosa na stavku Obveza za manje izvršeni rad prema HZZO-u.</w:t>
      </w:r>
    </w:p>
    <w:p w:rsidR="00712EDD" w:rsidRPr="00712EDD" w:rsidRDefault="00712EDD" w:rsidP="00712EDD">
      <w:pPr>
        <w:jc w:val="both"/>
        <w:rPr>
          <w:sz w:val="24"/>
          <w:szCs w:val="24"/>
        </w:rPr>
      </w:pPr>
    </w:p>
    <w:p w:rsidR="00712EDD" w:rsidRPr="00162EC7" w:rsidRDefault="00712EDD" w:rsidP="00162EC7">
      <w:pPr>
        <w:jc w:val="both"/>
        <w:rPr>
          <w:sz w:val="24"/>
          <w:szCs w:val="24"/>
        </w:rPr>
      </w:pPr>
      <w:r w:rsidRPr="00712EDD">
        <w:rPr>
          <w:b/>
          <w:i/>
          <w:sz w:val="24"/>
          <w:szCs w:val="24"/>
        </w:rPr>
        <w:t xml:space="preserve">Bilješka uz šifru 96 Obračunati prihodi poslovanja </w:t>
      </w:r>
      <w:r w:rsidRPr="00712EDD">
        <w:rPr>
          <w:sz w:val="24"/>
          <w:szCs w:val="24"/>
        </w:rPr>
        <w:t xml:space="preserve">bilježi rast od </w:t>
      </w:r>
      <w:r w:rsidR="00E75E99">
        <w:rPr>
          <w:sz w:val="24"/>
          <w:szCs w:val="24"/>
        </w:rPr>
        <w:t>35,9</w:t>
      </w:r>
      <w:r w:rsidRPr="00712EDD">
        <w:rPr>
          <w:sz w:val="24"/>
          <w:szCs w:val="24"/>
        </w:rPr>
        <w:t>% zbog većih potraživanja za</w:t>
      </w:r>
      <w:r w:rsidR="00DA3466">
        <w:rPr>
          <w:sz w:val="24"/>
          <w:szCs w:val="24"/>
        </w:rPr>
        <w:t xml:space="preserve"> pružene zdravstvene usluge pacijentima s</w:t>
      </w:r>
      <w:r w:rsidRPr="00712EDD">
        <w:rPr>
          <w:sz w:val="24"/>
          <w:szCs w:val="24"/>
        </w:rPr>
        <w:t xml:space="preserve"> </w:t>
      </w:r>
      <w:r w:rsidR="00DA3466">
        <w:rPr>
          <w:sz w:val="24"/>
          <w:szCs w:val="24"/>
        </w:rPr>
        <w:t>ino</w:t>
      </w:r>
      <w:r w:rsidRPr="00712EDD">
        <w:rPr>
          <w:sz w:val="24"/>
          <w:szCs w:val="24"/>
        </w:rPr>
        <w:t xml:space="preserve"> osiguranje</w:t>
      </w:r>
      <w:r w:rsidR="00DA3466">
        <w:rPr>
          <w:sz w:val="24"/>
          <w:szCs w:val="24"/>
        </w:rPr>
        <w:t>m,</w:t>
      </w:r>
      <w:r w:rsidR="00162EC7">
        <w:rPr>
          <w:sz w:val="24"/>
          <w:szCs w:val="24"/>
        </w:rPr>
        <w:t xml:space="preserve"> te </w:t>
      </w:r>
      <w:r w:rsidRPr="00712EDD">
        <w:rPr>
          <w:sz w:val="24"/>
          <w:szCs w:val="24"/>
        </w:rPr>
        <w:t>potraživanja za liječenje državljana Ukrajine.</w:t>
      </w:r>
    </w:p>
    <w:p w:rsidR="00712EDD" w:rsidRPr="00712EDD" w:rsidRDefault="00712EDD" w:rsidP="00712EDD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B550FA" w:rsidRPr="00B550FA" w:rsidRDefault="00472E44" w:rsidP="00B550FA">
      <w:pPr>
        <w:rPr>
          <w:rFonts w:ascii="Arial Narrow" w:hAnsi="Arial Narrow" w:cs="Arial"/>
          <w:b/>
          <w:i/>
          <w:sz w:val="24"/>
          <w:szCs w:val="24"/>
        </w:rPr>
      </w:pPr>
      <w:r w:rsidRPr="00712EDD">
        <w:rPr>
          <w:b/>
          <w:i/>
          <w:sz w:val="24"/>
          <w:szCs w:val="24"/>
        </w:rPr>
        <w:t xml:space="preserve">Bilješka uz šifru </w:t>
      </w:r>
      <w:r w:rsidR="00B550FA" w:rsidRPr="00B550FA">
        <w:rPr>
          <w:rFonts w:ascii="Arial Narrow" w:hAnsi="Arial Narrow" w:cs="Arial"/>
          <w:b/>
          <w:i/>
          <w:sz w:val="24"/>
          <w:szCs w:val="24"/>
        </w:rPr>
        <w:t xml:space="preserve">991 Izvanbilančni zapisi – aktiva /996 Izvanbilančni zapisi – </w:t>
      </w:r>
      <w:r w:rsidR="0046452F">
        <w:rPr>
          <w:rFonts w:ascii="Arial Narrow" w:hAnsi="Arial Narrow" w:cs="Arial"/>
          <w:b/>
          <w:i/>
          <w:sz w:val="24"/>
          <w:szCs w:val="24"/>
        </w:rPr>
        <w:t xml:space="preserve">pasiva </w:t>
      </w:r>
    </w:p>
    <w:p w:rsidR="00712EDD" w:rsidRDefault="00712EDD" w:rsidP="00712EDD">
      <w:pPr>
        <w:autoSpaceDE w:val="0"/>
        <w:autoSpaceDN w:val="0"/>
        <w:adjustRightInd w:val="0"/>
        <w:rPr>
          <w:sz w:val="24"/>
          <w:szCs w:val="24"/>
        </w:rPr>
      </w:pPr>
      <w:r w:rsidRPr="00712EDD">
        <w:rPr>
          <w:sz w:val="24"/>
          <w:szCs w:val="24"/>
        </w:rPr>
        <w:t>U izvanbilančnim zapisima</w:t>
      </w:r>
      <w:r w:rsidR="0046452F">
        <w:rPr>
          <w:sz w:val="24"/>
          <w:szCs w:val="24"/>
        </w:rPr>
        <w:t xml:space="preserve"> evidentirani su:</w:t>
      </w:r>
    </w:p>
    <w:p w:rsidR="00D62EAA" w:rsidRPr="00712EDD" w:rsidRDefault="00D62EAA" w:rsidP="00712EDD">
      <w:pPr>
        <w:autoSpaceDE w:val="0"/>
        <w:autoSpaceDN w:val="0"/>
        <w:adjustRightInd w:val="0"/>
        <w:rPr>
          <w:sz w:val="24"/>
          <w:szCs w:val="24"/>
        </w:rPr>
      </w:pPr>
    </w:p>
    <w:p w:rsidR="00712EDD" w:rsidRDefault="00712EDD" w:rsidP="00712EDD">
      <w:pPr>
        <w:autoSpaceDE w:val="0"/>
        <w:autoSpaceDN w:val="0"/>
        <w:adjustRightInd w:val="0"/>
        <w:rPr>
          <w:sz w:val="24"/>
          <w:szCs w:val="24"/>
        </w:rPr>
      </w:pPr>
      <w:r w:rsidRPr="00712EDD">
        <w:rPr>
          <w:sz w:val="24"/>
          <w:szCs w:val="24"/>
        </w:rPr>
        <w:t>1. Potencijalne obveze po sudskim sporovima u</w:t>
      </w:r>
      <w:r w:rsidR="00D62EAA">
        <w:rPr>
          <w:sz w:val="24"/>
          <w:szCs w:val="24"/>
        </w:rPr>
        <w:t xml:space="preserve"> tijeku</w:t>
      </w:r>
      <w:r w:rsidR="00A223B9">
        <w:rPr>
          <w:sz w:val="24"/>
          <w:szCs w:val="24"/>
        </w:rPr>
        <w:t xml:space="preserve"> u</w:t>
      </w:r>
      <w:r w:rsidRPr="00712EDD">
        <w:rPr>
          <w:sz w:val="24"/>
          <w:szCs w:val="24"/>
        </w:rPr>
        <w:t xml:space="preserve"> iznosu od </w:t>
      </w:r>
      <w:r w:rsidR="00F302CC">
        <w:rPr>
          <w:sz w:val="24"/>
          <w:szCs w:val="24"/>
        </w:rPr>
        <w:t>156.022,34 eura</w:t>
      </w:r>
    </w:p>
    <w:p w:rsidR="00B7009B" w:rsidRPr="00712EDD" w:rsidRDefault="00B7009B" w:rsidP="00712E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452F" w:rsidRPr="00EC347A">
        <w:rPr>
          <w:sz w:val="24"/>
          <w:szCs w:val="24"/>
        </w:rPr>
        <w:t>Instrumenti osiguranja plaćanja - primljene zadužnice</w:t>
      </w:r>
      <w:r w:rsidR="002F2706">
        <w:rPr>
          <w:sz w:val="24"/>
          <w:szCs w:val="24"/>
        </w:rPr>
        <w:t xml:space="preserve"> u iznosu od 2.986.211,60 eura</w:t>
      </w:r>
    </w:p>
    <w:p w:rsidR="00712EDD" w:rsidRDefault="002F2706" w:rsidP="00712E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712EDD" w:rsidRPr="00712EDD">
        <w:rPr>
          <w:sz w:val="24"/>
          <w:szCs w:val="24"/>
        </w:rPr>
        <w:t xml:space="preserve">. Ugradbeni materijal na </w:t>
      </w:r>
      <w:r w:rsidR="006A1633">
        <w:rPr>
          <w:sz w:val="24"/>
          <w:szCs w:val="24"/>
        </w:rPr>
        <w:t>korištenju (</w:t>
      </w:r>
      <w:r w:rsidR="00712EDD" w:rsidRPr="00712EDD">
        <w:rPr>
          <w:sz w:val="24"/>
          <w:szCs w:val="24"/>
        </w:rPr>
        <w:t>konsignaciji</w:t>
      </w:r>
      <w:r w:rsidR="006A1633">
        <w:rPr>
          <w:sz w:val="24"/>
          <w:szCs w:val="24"/>
        </w:rPr>
        <w:t>)</w:t>
      </w:r>
      <w:r w:rsidR="00712EDD" w:rsidRPr="00712EDD">
        <w:rPr>
          <w:sz w:val="24"/>
          <w:szCs w:val="24"/>
        </w:rPr>
        <w:t xml:space="preserve"> u iznosu od </w:t>
      </w:r>
      <w:r w:rsidR="00737D8B">
        <w:rPr>
          <w:sz w:val="24"/>
          <w:szCs w:val="24"/>
        </w:rPr>
        <w:t>144.458,96 eura</w:t>
      </w:r>
    </w:p>
    <w:p w:rsidR="00EC347A" w:rsidRPr="00EC347A" w:rsidRDefault="00EC347A" w:rsidP="00EC3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347A">
        <w:rPr>
          <w:sz w:val="24"/>
          <w:szCs w:val="24"/>
        </w:rPr>
        <w:t xml:space="preserve">Prekoračenja fakturiranih usluga od ranijih godina proizašla od ugovornog odnosa sa   </w:t>
      </w:r>
    </w:p>
    <w:p w:rsidR="00EC347A" w:rsidRPr="00EC347A" w:rsidRDefault="00EC347A" w:rsidP="00EC347A">
      <w:pPr>
        <w:autoSpaceDE w:val="0"/>
        <w:autoSpaceDN w:val="0"/>
        <w:adjustRightInd w:val="0"/>
        <w:rPr>
          <w:sz w:val="24"/>
          <w:szCs w:val="24"/>
        </w:rPr>
      </w:pPr>
      <w:r w:rsidRPr="00EC347A">
        <w:rPr>
          <w:sz w:val="24"/>
          <w:szCs w:val="24"/>
        </w:rPr>
        <w:t>HZZO-om knjižena su vanbilančno u iznosu od 6.283.187,40 eura.</w:t>
      </w:r>
    </w:p>
    <w:p w:rsidR="00712EDD" w:rsidRPr="001E2808" w:rsidRDefault="00712EDD" w:rsidP="00712E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646CC" w:rsidRDefault="00EC347A" w:rsidP="00EC347A">
      <w:pPr>
        <w:rPr>
          <w:b/>
          <w:sz w:val="26"/>
          <w:szCs w:val="26"/>
        </w:rPr>
      </w:pPr>
      <w:r w:rsidRPr="00EC347A">
        <w:rPr>
          <w:rFonts w:ascii="Arial Narrow" w:hAnsi="Arial Narrow" w:cs="Arial"/>
          <w:sz w:val="24"/>
          <w:szCs w:val="24"/>
        </w:rPr>
        <w:br/>
      </w:r>
      <w:r w:rsidR="00AD0762">
        <w:rPr>
          <w:b/>
          <w:sz w:val="26"/>
          <w:szCs w:val="26"/>
        </w:rPr>
        <w:t>Bilješke</w:t>
      </w:r>
      <w:r w:rsidR="00BB4350">
        <w:rPr>
          <w:b/>
          <w:sz w:val="26"/>
          <w:szCs w:val="26"/>
        </w:rPr>
        <w:t xml:space="preserve"> uslijed preračuna kuna u eure na dan</w:t>
      </w:r>
      <w:r w:rsidR="00AD0762">
        <w:rPr>
          <w:b/>
          <w:sz w:val="26"/>
          <w:szCs w:val="26"/>
        </w:rPr>
        <w:t xml:space="preserve"> 01.01.2023.</w:t>
      </w:r>
    </w:p>
    <w:p w:rsidR="009462BE" w:rsidRDefault="009462BE" w:rsidP="00EC347A">
      <w:pPr>
        <w:rPr>
          <w:b/>
          <w:sz w:val="26"/>
          <w:szCs w:val="26"/>
        </w:rPr>
      </w:pPr>
    </w:p>
    <w:p w:rsidR="00CD43FF" w:rsidRDefault="00CD43FF" w:rsidP="000C71C6">
      <w:pPr>
        <w:jc w:val="both"/>
        <w:rPr>
          <w:sz w:val="24"/>
          <w:szCs w:val="24"/>
        </w:rPr>
      </w:pPr>
      <w:r w:rsidRPr="000C71C6">
        <w:rPr>
          <w:sz w:val="24"/>
          <w:szCs w:val="24"/>
        </w:rPr>
        <w:t>Aktiva i pasiva bilance stanja na dan 01.01.2023. uvećane su za 1,04 eura nastale kao razlika uslijed preračunavanja i zaokruživanja kune u eure primjenom fiksnog tečaja konverzije.</w:t>
      </w:r>
    </w:p>
    <w:p w:rsidR="00062774" w:rsidRDefault="00062774" w:rsidP="000C71C6">
      <w:pPr>
        <w:jc w:val="both"/>
        <w:rPr>
          <w:sz w:val="24"/>
          <w:szCs w:val="24"/>
        </w:rPr>
      </w:pPr>
    </w:p>
    <w:p w:rsidR="00EF2F7D" w:rsidRDefault="00EF2F7D" w:rsidP="000C71C6">
      <w:pPr>
        <w:jc w:val="both"/>
        <w:rPr>
          <w:sz w:val="24"/>
          <w:szCs w:val="24"/>
        </w:rPr>
      </w:pPr>
      <w:r>
        <w:rPr>
          <w:sz w:val="24"/>
          <w:szCs w:val="24"/>
        </w:rPr>
        <w:t>Nabavna vrijednost imovine na razredu 0 u aktivi bilance smanjena je za 0,18 eura na dugovnoj strani računa pripadajuće imovine, a ispravak vrijednosti za 0,37 na potražnoj strani pripadajućeg računa ispravka vrijednosti zbog prijenosa analitičkog knjigovodstva dugotrajne nefinancijske imovine i usklađenja sa karticama glavne knjige na razredu 0.</w:t>
      </w:r>
    </w:p>
    <w:p w:rsidR="00062774" w:rsidRDefault="00062774" w:rsidP="000C71C6">
      <w:pPr>
        <w:jc w:val="both"/>
        <w:rPr>
          <w:sz w:val="24"/>
          <w:szCs w:val="24"/>
        </w:rPr>
      </w:pPr>
    </w:p>
    <w:p w:rsidR="00EF2F7D" w:rsidRDefault="00EF2F7D" w:rsidP="000C71C6">
      <w:pPr>
        <w:jc w:val="both"/>
        <w:rPr>
          <w:sz w:val="24"/>
          <w:szCs w:val="24"/>
        </w:rPr>
      </w:pPr>
      <w:r>
        <w:rPr>
          <w:sz w:val="24"/>
          <w:szCs w:val="24"/>
        </w:rPr>
        <w:t>Vlastiti izvori na skupini 911 za nefinancijsku imovinu u pasivi bilance smanjeni su za 0,09 eura na potražnoj strani kako bi i nadalje postojala bilančna ravnoteža sa razredom 0.</w:t>
      </w:r>
    </w:p>
    <w:p w:rsidR="00062774" w:rsidRDefault="00062774" w:rsidP="000C71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Dugovna strana skupine 16 u aktivi bilance uvećana je za 1,22 eura zbog prijenosa analitičkog knjigovodstva potraživanja za prihode poslovanja i usklađenja s karticama glavne knjige.</w:t>
      </w:r>
    </w:p>
    <w:p w:rsidR="00062774" w:rsidRDefault="00062774" w:rsidP="000C71C6">
      <w:pPr>
        <w:jc w:val="both"/>
        <w:rPr>
          <w:sz w:val="24"/>
          <w:szCs w:val="24"/>
        </w:rPr>
      </w:pPr>
    </w:p>
    <w:p w:rsidR="00062774" w:rsidRDefault="00062774" w:rsidP="000C71C6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tome u pasivi je uvećana skupina 96 za obračunate prihode kako bi i nadalje postojala bila bilančna ravnoteža.</w:t>
      </w:r>
    </w:p>
    <w:p w:rsidR="00062774" w:rsidRDefault="00062774" w:rsidP="000C71C6">
      <w:pPr>
        <w:jc w:val="both"/>
        <w:rPr>
          <w:sz w:val="24"/>
          <w:szCs w:val="24"/>
        </w:rPr>
      </w:pPr>
    </w:p>
    <w:p w:rsidR="004C230C" w:rsidRDefault="00BB4350" w:rsidP="000C71C6">
      <w:pPr>
        <w:jc w:val="both"/>
        <w:rPr>
          <w:sz w:val="24"/>
          <w:szCs w:val="24"/>
        </w:rPr>
      </w:pPr>
      <w:r>
        <w:rPr>
          <w:sz w:val="24"/>
          <w:szCs w:val="24"/>
        </w:rPr>
        <w:t>Manjak prihoda poslovanja umanjen je za 0,02 eura zbog uvećanog stanja u aktivi bilance stanja na skupini 04 i 06 zalihe za 0,06 eura, te povećanja obveza na razredu 2 za 0,08 eura.</w:t>
      </w:r>
    </w:p>
    <w:p w:rsidR="001E2808" w:rsidRDefault="001E2808" w:rsidP="00EC347A">
      <w:pPr>
        <w:rPr>
          <w:b/>
          <w:sz w:val="26"/>
          <w:szCs w:val="26"/>
        </w:rPr>
      </w:pPr>
    </w:p>
    <w:p w:rsidR="00062774" w:rsidRDefault="00062774" w:rsidP="00EC347A">
      <w:pPr>
        <w:rPr>
          <w:b/>
          <w:sz w:val="26"/>
          <w:szCs w:val="26"/>
        </w:rPr>
      </w:pPr>
    </w:p>
    <w:p w:rsidR="001E2808" w:rsidRDefault="001E2808" w:rsidP="00EC347A">
      <w:pPr>
        <w:rPr>
          <w:b/>
          <w:sz w:val="26"/>
          <w:szCs w:val="26"/>
        </w:rPr>
      </w:pPr>
      <w:r>
        <w:rPr>
          <w:b/>
          <w:sz w:val="26"/>
          <w:szCs w:val="26"/>
        </w:rPr>
        <w:t>Popis sudskih sporova</w:t>
      </w:r>
    </w:p>
    <w:p w:rsidR="001E2808" w:rsidRDefault="001E2808" w:rsidP="00EC347A">
      <w:pPr>
        <w:rPr>
          <w:b/>
          <w:sz w:val="26"/>
          <w:szCs w:val="26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940"/>
        <w:gridCol w:w="580"/>
        <w:gridCol w:w="1980"/>
        <w:gridCol w:w="1320"/>
        <w:gridCol w:w="960"/>
      </w:tblGrid>
      <w:tr w:rsidR="001E2808" w:rsidRPr="001E2808" w:rsidTr="001E2808">
        <w:trPr>
          <w:trHeight w:val="702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STANJE OBVEZA PO SUDSKIM SPOROVIMA, 2023 god.</w:t>
            </w:r>
          </w:p>
        </w:tc>
      </w:tr>
      <w:tr w:rsidR="001E2808" w:rsidRPr="001E2808" w:rsidTr="001E2808">
        <w:trPr>
          <w:trHeight w:val="4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 BR.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2.654,46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1.327,36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20.823,21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398,17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291,99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1.459,95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1.990,84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1.990,84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1.327,36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1.990,84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372,73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Zaposlenik 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6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60.627,75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702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PARNIČNI</w:t>
            </w:r>
          </w:p>
        </w:tc>
      </w:tr>
      <w:tr w:rsidR="001E2808" w:rsidRPr="001E2808" w:rsidTr="001E2808">
        <w:trPr>
          <w:trHeight w:val="4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 BR.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11.480,00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26.108,51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11.945,05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7.167,03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16.988,52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10.617,82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Tužitelj 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color w:val="000000"/>
                <w:sz w:val="22"/>
                <w:szCs w:val="22"/>
              </w:rPr>
              <w:t>11.087,66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2808" w:rsidRPr="001E2808" w:rsidTr="001E2808">
        <w:trPr>
          <w:trHeight w:val="6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8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95.394,59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08" w:rsidRPr="001E2808" w:rsidRDefault="001E2808" w:rsidP="001E2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E2808" w:rsidRDefault="006A4C5D">
      <w:pPr>
        <w:spacing w:after="200" w:line="276" w:lineRule="auto"/>
        <w:rPr>
          <w:b/>
          <w:sz w:val="26"/>
          <w:szCs w:val="26"/>
        </w:rPr>
      </w:pPr>
      <w:r w:rsidRPr="009462BE">
        <w:rPr>
          <w:b/>
          <w:sz w:val="26"/>
          <w:szCs w:val="26"/>
        </w:rPr>
        <w:br w:type="page"/>
      </w:r>
    </w:p>
    <w:p w:rsidR="006A4C5D" w:rsidRDefault="006A4C5D" w:rsidP="00EC347A">
      <w:pPr>
        <w:rPr>
          <w:b/>
          <w:sz w:val="26"/>
          <w:szCs w:val="26"/>
        </w:rPr>
      </w:pPr>
      <w:r w:rsidRPr="007461AB">
        <w:rPr>
          <w:b/>
          <w:sz w:val="26"/>
          <w:szCs w:val="26"/>
        </w:rPr>
        <w:lastRenderedPageBreak/>
        <w:t>BILJEŠKE UZ OBRAZAC IZVJEŠTAJ O PRIHODIMA I RASHODIMA, PRIMICIMA I IZDACIMA (PR-RAS)</w:t>
      </w:r>
    </w:p>
    <w:p w:rsidR="006A4C5D" w:rsidRPr="009E16A5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jc w:val="both"/>
        <w:rPr>
          <w:b/>
          <w:sz w:val="24"/>
          <w:szCs w:val="24"/>
          <w:u w:val="single"/>
        </w:rPr>
      </w:pPr>
      <w:r w:rsidRPr="005A60EE">
        <w:rPr>
          <w:b/>
          <w:sz w:val="24"/>
          <w:szCs w:val="24"/>
          <w:u w:val="single"/>
        </w:rPr>
        <w:t xml:space="preserve">PRIHODI POSLOVANJA </w:t>
      </w:r>
    </w:p>
    <w:p w:rsidR="006A4C5D" w:rsidRPr="005A60EE" w:rsidRDefault="006A4C5D" w:rsidP="006A4C5D">
      <w:pPr>
        <w:jc w:val="both"/>
        <w:rPr>
          <w:b/>
          <w:sz w:val="24"/>
          <w:szCs w:val="24"/>
          <w:u w:val="single"/>
        </w:rPr>
      </w:pPr>
    </w:p>
    <w:p w:rsidR="006A4C5D" w:rsidRPr="009E16A5" w:rsidRDefault="006A4C5D" w:rsidP="006A4C5D">
      <w:pPr>
        <w:jc w:val="both"/>
        <w:rPr>
          <w:sz w:val="24"/>
          <w:szCs w:val="24"/>
        </w:rPr>
      </w:pPr>
      <w:r w:rsidRPr="009E16A5">
        <w:rPr>
          <w:sz w:val="24"/>
          <w:szCs w:val="24"/>
        </w:rPr>
        <w:t xml:space="preserve">Odredbe Zakona, općih akata HZZO-a i Odluke Upravnog vijeća HZZO-a definiraju način vrednovanja zdravstvenih programa i usluga i na taj način direktno i indirektno utječu na formiranje ukupnog prihoda </w:t>
      </w:r>
      <w:r>
        <w:rPr>
          <w:sz w:val="24"/>
          <w:szCs w:val="24"/>
        </w:rPr>
        <w:t>Klinike za ortopediju Lovran.</w:t>
      </w:r>
      <w:r w:rsidRPr="009E16A5">
        <w:rPr>
          <w:sz w:val="24"/>
          <w:szCs w:val="24"/>
        </w:rPr>
        <w:t xml:space="preserve"> </w:t>
      </w:r>
    </w:p>
    <w:p w:rsidR="006A4C5D" w:rsidRDefault="006A4C5D" w:rsidP="006A4C5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Klinika za ortopediju Lovran </w:t>
      </w:r>
      <w:r w:rsidRPr="009E16A5">
        <w:rPr>
          <w:sz w:val="24"/>
          <w:szCs w:val="24"/>
        </w:rPr>
        <w:t>je u 20</w:t>
      </w:r>
      <w:r>
        <w:rPr>
          <w:sz w:val="24"/>
          <w:szCs w:val="24"/>
        </w:rPr>
        <w:t>23</w:t>
      </w:r>
      <w:r w:rsidRPr="009E16A5">
        <w:rPr>
          <w:sz w:val="24"/>
          <w:szCs w:val="24"/>
        </w:rPr>
        <w:t>. godini ostvari</w:t>
      </w: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manjak</w:t>
      </w:r>
      <w:r w:rsidRPr="00B85F9E">
        <w:rPr>
          <w:b/>
          <w:sz w:val="24"/>
          <w:szCs w:val="24"/>
        </w:rPr>
        <w:t xml:space="preserve"> prihoda nad rashodima u iznosu od </w:t>
      </w:r>
      <w:r>
        <w:rPr>
          <w:b/>
          <w:sz w:val="24"/>
          <w:szCs w:val="24"/>
        </w:rPr>
        <w:t>1.554.443,24 eura</w:t>
      </w:r>
      <w:r w:rsidRPr="00B85F9E">
        <w:rPr>
          <w:b/>
          <w:sz w:val="24"/>
          <w:szCs w:val="24"/>
        </w:rPr>
        <w:t xml:space="preserve">. </w:t>
      </w:r>
    </w:p>
    <w:p w:rsidR="006A4C5D" w:rsidRPr="00B85F9E" w:rsidRDefault="006A4C5D" w:rsidP="006A4C5D">
      <w:pPr>
        <w:jc w:val="both"/>
        <w:rPr>
          <w:b/>
          <w:sz w:val="24"/>
          <w:szCs w:val="24"/>
        </w:rPr>
      </w:pPr>
    </w:p>
    <w:p w:rsidR="006A4C5D" w:rsidRPr="009E16A5" w:rsidRDefault="006A4C5D" w:rsidP="006A4C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su </w:t>
      </w:r>
      <w:r w:rsidRPr="009E16A5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</w:t>
      </w:r>
      <w:r w:rsidRPr="009E16A5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9E16A5">
        <w:rPr>
          <w:sz w:val="24"/>
          <w:szCs w:val="24"/>
        </w:rPr>
        <w:t xml:space="preserve">. godini </w:t>
      </w:r>
      <w:r>
        <w:rPr>
          <w:sz w:val="24"/>
          <w:szCs w:val="24"/>
        </w:rPr>
        <w:t xml:space="preserve">manji </w:t>
      </w:r>
      <w:r w:rsidRPr="009E16A5">
        <w:rPr>
          <w:sz w:val="24"/>
          <w:szCs w:val="24"/>
        </w:rPr>
        <w:t xml:space="preserve">za </w:t>
      </w:r>
      <w:r>
        <w:rPr>
          <w:sz w:val="24"/>
          <w:szCs w:val="24"/>
        </w:rPr>
        <w:t>7,4</w:t>
      </w:r>
      <w:r w:rsidRPr="009E16A5">
        <w:rPr>
          <w:sz w:val="24"/>
          <w:szCs w:val="24"/>
        </w:rPr>
        <w:t>% u odnosu na 20</w:t>
      </w:r>
      <w:r>
        <w:rPr>
          <w:sz w:val="24"/>
          <w:szCs w:val="24"/>
        </w:rPr>
        <w:t>22</w:t>
      </w:r>
      <w:r w:rsidRPr="009E16A5">
        <w:rPr>
          <w:sz w:val="24"/>
          <w:szCs w:val="24"/>
        </w:rPr>
        <w:t>. godinu.</w:t>
      </w:r>
    </w:p>
    <w:p w:rsidR="006A4C5D" w:rsidRDefault="006A4C5D" w:rsidP="006A4C5D">
      <w:pPr>
        <w:jc w:val="both"/>
        <w:rPr>
          <w:b/>
          <w:i/>
          <w:sz w:val="24"/>
          <w:szCs w:val="24"/>
        </w:rPr>
      </w:pPr>
    </w:p>
    <w:p w:rsidR="006A4C5D" w:rsidRDefault="006A4C5D" w:rsidP="006A4C5D">
      <w:pPr>
        <w:jc w:val="both"/>
        <w:rPr>
          <w:sz w:val="24"/>
          <w:szCs w:val="24"/>
        </w:rPr>
      </w:pPr>
      <w:r w:rsidRPr="00045DD1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 xml:space="preserve">6 Prihodi poslovanja: </w:t>
      </w:r>
      <w:r>
        <w:rPr>
          <w:sz w:val="24"/>
          <w:szCs w:val="24"/>
        </w:rPr>
        <w:t>ova stavka bilježi smanjenje od 7,5% u odnosu na 3</w:t>
      </w:r>
      <w:r w:rsidR="00EF06D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F06D4">
        <w:rPr>
          <w:sz w:val="24"/>
          <w:szCs w:val="24"/>
        </w:rPr>
        <w:t>12.</w:t>
      </w:r>
      <w:r>
        <w:rPr>
          <w:sz w:val="24"/>
          <w:szCs w:val="24"/>
        </w:rPr>
        <w:t>2022.g. Na povećanje ove stavke najviše su utjecale promjene na ovim kategorijama:</w:t>
      </w:r>
    </w:p>
    <w:p w:rsidR="006A4C5D" w:rsidRDefault="006A4C5D" w:rsidP="006A4C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65 Prihodi od upravnih i administrativnih pristojbi, pristojbi posebnim propisima i naknada, koji se odnose na prihode od dopunskog osiguranja, bilježe povećanje od 14,2%</w:t>
      </w:r>
    </w:p>
    <w:p w:rsidR="006A4C5D" w:rsidRDefault="006A4C5D" w:rsidP="006A4C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66 Prihodi od prodaje proizvoda i roba te pruženih usluga bilježe povećanje od 46,7%</w:t>
      </w:r>
    </w:p>
    <w:p w:rsidR="006A4C5D" w:rsidRPr="004053A4" w:rsidRDefault="006A4C5D" w:rsidP="006A4C5D">
      <w:pPr>
        <w:numPr>
          <w:ilvl w:val="0"/>
          <w:numId w:val="1"/>
        </w:numPr>
        <w:jc w:val="both"/>
        <w:rPr>
          <w:sz w:val="26"/>
          <w:szCs w:val="26"/>
        </w:rPr>
      </w:pPr>
      <w:r w:rsidRPr="004053A4">
        <w:rPr>
          <w:sz w:val="24"/>
          <w:szCs w:val="24"/>
        </w:rPr>
        <w:t>67 Prihodi iz nadležnog proračuna i od HZZO-a na temelju ugovornih obveza bilježe smanjenje 10,4% zbog storniranja prihoda HZZO-a u iznosu od 2.102.643,13 eura. Navedeni iznos Klinika nije uspjela opravdati izvršenim uslugama uslijed permanentnog problema s opskrbom krvi i krvnim pripravcima  koji su počeli u 2020. godini nakon obustave pružanja redovnih zdravstvenih usluga uslijed pandemije Covid-19. Klinika sada obavlja puno više zahvata koji ne zahtijevaju krv i krvne pripravke, a koji pripadaju dijagnostičko terapijskim skupinama (DTS) koje se financijski značajno manje vrednuju u odnosu na operativne zahvate koji zahtijevaju krv i krvne pripravake. Navedenim načinom rada Klinika ima smanjenu fakturnu realizaciju izvršenih usluga i ne može ostvariti limit iako radi punim kapacitetom</w:t>
      </w:r>
    </w:p>
    <w:p w:rsidR="006A4C5D" w:rsidRPr="003F6C99" w:rsidRDefault="006A4C5D" w:rsidP="006A4C5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4"/>
          <w:szCs w:val="24"/>
        </w:rPr>
        <w:t>683</w:t>
      </w:r>
      <w:r w:rsidRPr="003F6C99">
        <w:rPr>
          <w:sz w:val="24"/>
          <w:szCs w:val="24"/>
        </w:rPr>
        <w:t xml:space="preserve"> Kazne, upravne mjere i ostali prihodi </w:t>
      </w:r>
      <w:r>
        <w:rPr>
          <w:sz w:val="24"/>
          <w:szCs w:val="24"/>
        </w:rPr>
        <w:t xml:space="preserve">povećani </w:t>
      </w:r>
      <w:r w:rsidRPr="003F6C99">
        <w:rPr>
          <w:sz w:val="24"/>
          <w:szCs w:val="24"/>
        </w:rPr>
        <w:t xml:space="preserve">su za </w:t>
      </w:r>
      <w:r>
        <w:rPr>
          <w:sz w:val="24"/>
          <w:szCs w:val="24"/>
        </w:rPr>
        <w:t xml:space="preserve">129,2 </w:t>
      </w:r>
      <w:r w:rsidRPr="003F6C99">
        <w:rPr>
          <w:sz w:val="24"/>
          <w:szCs w:val="24"/>
        </w:rPr>
        <w:t xml:space="preserve">% </w:t>
      </w:r>
      <w:r w:rsidRPr="007D4902">
        <w:rPr>
          <w:sz w:val="24"/>
          <w:szCs w:val="24"/>
        </w:rPr>
        <w:t xml:space="preserve">kao </w:t>
      </w:r>
      <w:r w:rsidRPr="003F6C99">
        <w:rPr>
          <w:sz w:val="24"/>
          <w:szCs w:val="24"/>
        </w:rPr>
        <w:t xml:space="preserve">odraz </w:t>
      </w:r>
      <w:r>
        <w:rPr>
          <w:sz w:val="24"/>
          <w:szCs w:val="24"/>
        </w:rPr>
        <w:t>ne</w:t>
      </w:r>
      <w:r w:rsidRPr="003F6C99">
        <w:rPr>
          <w:sz w:val="24"/>
          <w:szCs w:val="24"/>
        </w:rPr>
        <w:t>poštivanja ugovornih obveza od strane dobavljača</w:t>
      </w:r>
      <w:r>
        <w:rPr>
          <w:sz w:val="24"/>
          <w:szCs w:val="24"/>
        </w:rPr>
        <w:t xml:space="preserve"> za medicinski materijal</w:t>
      </w:r>
    </w:p>
    <w:p w:rsidR="006A4C5D" w:rsidRDefault="006A4C5D" w:rsidP="006A4C5D">
      <w:pPr>
        <w:jc w:val="both"/>
        <w:rPr>
          <w:sz w:val="26"/>
          <w:szCs w:val="26"/>
        </w:rPr>
      </w:pPr>
    </w:p>
    <w:p w:rsidR="006A4C5D" w:rsidRPr="005A60EE" w:rsidRDefault="006A4C5D" w:rsidP="006A4C5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RASHODI</w:t>
      </w:r>
      <w:r w:rsidRPr="005A60EE">
        <w:rPr>
          <w:b/>
          <w:sz w:val="24"/>
          <w:szCs w:val="24"/>
          <w:u w:val="single"/>
        </w:rPr>
        <w:t xml:space="preserve"> POSLOVANJA </w:t>
      </w:r>
    </w:p>
    <w:p w:rsidR="006A4C5D" w:rsidRDefault="006A4C5D" w:rsidP="006A4C5D">
      <w:pPr>
        <w:jc w:val="both"/>
        <w:rPr>
          <w:sz w:val="24"/>
          <w:szCs w:val="24"/>
        </w:rPr>
      </w:pPr>
    </w:p>
    <w:p w:rsidR="006A4C5D" w:rsidRPr="009E16A5" w:rsidRDefault="006A4C5D" w:rsidP="006A4C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rashodi su </w:t>
      </w:r>
      <w:r w:rsidRPr="009E16A5">
        <w:rPr>
          <w:sz w:val="24"/>
          <w:szCs w:val="24"/>
        </w:rPr>
        <w:t>u 20</w:t>
      </w:r>
      <w:r>
        <w:rPr>
          <w:sz w:val="24"/>
          <w:szCs w:val="24"/>
        </w:rPr>
        <w:t>23</w:t>
      </w:r>
      <w:r w:rsidRPr="009E16A5">
        <w:rPr>
          <w:sz w:val="24"/>
          <w:szCs w:val="24"/>
        </w:rPr>
        <w:t xml:space="preserve">. godini </w:t>
      </w:r>
      <w:r>
        <w:rPr>
          <w:sz w:val="24"/>
          <w:szCs w:val="24"/>
        </w:rPr>
        <w:t xml:space="preserve">veći </w:t>
      </w:r>
      <w:r w:rsidRPr="009E16A5">
        <w:rPr>
          <w:sz w:val="24"/>
          <w:szCs w:val="24"/>
        </w:rPr>
        <w:t xml:space="preserve">za </w:t>
      </w:r>
      <w:r>
        <w:rPr>
          <w:sz w:val="24"/>
          <w:szCs w:val="24"/>
        </w:rPr>
        <w:t>13,1</w:t>
      </w:r>
      <w:r w:rsidRPr="009E16A5">
        <w:rPr>
          <w:sz w:val="24"/>
          <w:szCs w:val="24"/>
        </w:rPr>
        <w:t>% u odnosu na 20</w:t>
      </w:r>
      <w:r>
        <w:rPr>
          <w:sz w:val="24"/>
          <w:szCs w:val="24"/>
        </w:rPr>
        <w:t>22</w:t>
      </w:r>
      <w:r w:rsidRPr="009E16A5">
        <w:rPr>
          <w:sz w:val="24"/>
          <w:szCs w:val="24"/>
        </w:rPr>
        <w:t>. godinu.</w:t>
      </w:r>
    </w:p>
    <w:p w:rsidR="006A4C5D" w:rsidRDefault="006A4C5D" w:rsidP="006A4C5D">
      <w:pPr>
        <w:jc w:val="both"/>
        <w:rPr>
          <w:b/>
          <w:i/>
          <w:sz w:val="24"/>
          <w:szCs w:val="24"/>
        </w:rPr>
      </w:pPr>
    </w:p>
    <w:p w:rsidR="006A4C5D" w:rsidRDefault="006A4C5D" w:rsidP="006A4C5D">
      <w:pPr>
        <w:jc w:val="both"/>
        <w:rPr>
          <w:sz w:val="24"/>
          <w:szCs w:val="24"/>
        </w:rPr>
      </w:pPr>
      <w:r w:rsidRPr="00FC2A92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 xml:space="preserve">3 </w:t>
      </w:r>
      <w:r w:rsidRPr="00FC2A92">
        <w:rPr>
          <w:b/>
          <w:i/>
          <w:sz w:val="24"/>
          <w:szCs w:val="24"/>
        </w:rPr>
        <w:t xml:space="preserve">Rashodi poslovanja: </w:t>
      </w:r>
      <w:r w:rsidRPr="00FC2A92">
        <w:rPr>
          <w:sz w:val="24"/>
          <w:szCs w:val="24"/>
        </w:rPr>
        <w:t xml:space="preserve">ova stavka bilježi povećanje od  </w:t>
      </w:r>
      <w:r>
        <w:rPr>
          <w:sz w:val="24"/>
          <w:szCs w:val="24"/>
        </w:rPr>
        <w:t>13,1</w:t>
      </w:r>
      <w:r w:rsidRPr="00FC2A92">
        <w:rPr>
          <w:sz w:val="24"/>
          <w:szCs w:val="24"/>
        </w:rPr>
        <w:t>% u odnosu na 20</w:t>
      </w:r>
      <w:r>
        <w:rPr>
          <w:sz w:val="24"/>
          <w:szCs w:val="24"/>
        </w:rPr>
        <w:t>22</w:t>
      </w:r>
      <w:r w:rsidRPr="00FC2A92">
        <w:rPr>
          <w:sz w:val="24"/>
          <w:szCs w:val="24"/>
        </w:rPr>
        <w:t>.g.</w:t>
      </w:r>
      <w:r w:rsidRPr="00FC2A92">
        <w:rPr>
          <w:rFonts w:ascii="Arial" w:hAnsi="Arial" w:cs="Arial"/>
          <w:sz w:val="22"/>
          <w:szCs w:val="22"/>
        </w:rPr>
        <w:t xml:space="preserve"> </w:t>
      </w:r>
      <w:r w:rsidRPr="00FC2A92">
        <w:rPr>
          <w:sz w:val="24"/>
          <w:szCs w:val="24"/>
        </w:rPr>
        <w:t>Na povećanje ove stavke najveći utjecaj su imale promjene na sljedećim kategorijama:</w:t>
      </w:r>
    </w:p>
    <w:p w:rsidR="006A4C5D" w:rsidRPr="00151A70" w:rsidRDefault="006A4C5D" w:rsidP="006A4C5D">
      <w:pPr>
        <w:numPr>
          <w:ilvl w:val="0"/>
          <w:numId w:val="3"/>
        </w:numPr>
        <w:spacing w:line="264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31 Rashodi za zaposlene bilježe rast od 12,2% uslijed</w:t>
      </w:r>
      <w:r w:rsidRPr="00151A70">
        <w:rPr>
          <w:sz w:val="24"/>
          <w:szCs w:val="24"/>
        </w:rPr>
        <w:t xml:space="preserve"> povećanja osnovice </w:t>
      </w:r>
      <w:r>
        <w:rPr>
          <w:sz w:val="24"/>
          <w:szCs w:val="24"/>
        </w:rPr>
        <w:t xml:space="preserve">za 2% </w:t>
      </w:r>
      <w:r w:rsidRPr="00151A70">
        <w:rPr>
          <w:sz w:val="24"/>
          <w:szCs w:val="24"/>
        </w:rPr>
        <w:t>od 01.travnja 2023.godine</w:t>
      </w:r>
      <w:r>
        <w:rPr>
          <w:sz w:val="24"/>
          <w:szCs w:val="24"/>
        </w:rPr>
        <w:t xml:space="preserve"> </w:t>
      </w:r>
      <w:r w:rsidRPr="00151A70">
        <w:rPr>
          <w:sz w:val="24"/>
          <w:szCs w:val="24"/>
        </w:rPr>
        <w:t xml:space="preserve">te </w:t>
      </w:r>
      <w:r>
        <w:rPr>
          <w:sz w:val="24"/>
          <w:szCs w:val="24"/>
        </w:rPr>
        <w:t>isplate privremenog dodatka na plaću</w:t>
      </w:r>
    </w:p>
    <w:p w:rsidR="006A4C5D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32 Materijalni rashodi bilježe rast od 12,9%</w:t>
      </w:r>
    </w:p>
    <w:p w:rsidR="006A4C5D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322 Rashodi za materijal i energiju su veći za 10,3%, najveći utjecaj na povećanje stavke imalo je povećanje cijena materijala uslijed inflacije</w:t>
      </w:r>
    </w:p>
    <w:p w:rsidR="006A4C5D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323 Rashodi za usluge bilježe povećanje od 26,6%, najveći utjecaj na ovu stavku ima povećanje troškova za vanjske usluga prijevoza, te uvođenje vanjske usluge pranja bolničkog rublja</w:t>
      </w:r>
    </w:p>
    <w:p w:rsidR="006A4C5D" w:rsidRPr="005A70DE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329 Ostali nespomenuti rashodi veći su za 142,9% zbog povećanja troškova za pristojbe i naknade (sudske pristojbe za tri isplaćene pravomoćne sudske presude </w:t>
      </w:r>
      <w:r w:rsidRPr="005A70DE">
        <w:rPr>
          <w:sz w:val="24"/>
          <w:szCs w:val="24"/>
        </w:rPr>
        <w:t xml:space="preserve">za </w:t>
      </w:r>
      <w:r w:rsidRPr="005A70DE">
        <w:rPr>
          <w:sz w:val="24"/>
          <w:szCs w:val="24"/>
        </w:rPr>
        <w:lastRenderedPageBreak/>
        <w:t xml:space="preserve">pogrešan obračun osnovice, te </w:t>
      </w:r>
      <w:r>
        <w:rPr>
          <w:sz w:val="24"/>
          <w:szCs w:val="24"/>
        </w:rPr>
        <w:t xml:space="preserve">četiri </w:t>
      </w:r>
      <w:r w:rsidRPr="005A70DE">
        <w:rPr>
          <w:sz w:val="24"/>
          <w:szCs w:val="24"/>
        </w:rPr>
        <w:t xml:space="preserve">isplate </w:t>
      </w:r>
      <w:r>
        <w:rPr>
          <w:sz w:val="24"/>
          <w:szCs w:val="24"/>
        </w:rPr>
        <w:t xml:space="preserve">pravomoćne presude </w:t>
      </w:r>
      <w:r w:rsidRPr="005A70DE">
        <w:rPr>
          <w:sz w:val="24"/>
          <w:szCs w:val="24"/>
        </w:rPr>
        <w:t>za razliku uvećanja plaće za prekovremeni rad</w:t>
      </w:r>
      <w:r>
        <w:rPr>
          <w:sz w:val="24"/>
          <w:szCs w:val="24"/>
        </w:rPr>
        <w:t>)</w:t>
      </w:r>
    </w:p>
    <w:p w:rsidR="006A4C5D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34 Financijski rashodi bilježe rast od 3.188,3% kao posljedica isplate zateznih kamata temeljem tri pravomoćne sudske presude za neispravan obračun osnovice i četiri pravomoćne presude za razliku iznosa uvećanja plaće za prekovremeni</w:t>
      </w:r>
    </w:p>
    <w:p w:rsidR="006A4C5D" w:rsidRDefault="006A4C5D" w:rsidP="006A4C5D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38 Ostali rashodi ostvaruju rast 887,1% zbog isplate pravomoćne sudske presude (naknada štete)</w:t>
      </w:r>
    </w:p>
    <w:p w:rsidR="006A4C5D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jc w:val="both"/>
        <w:rPr>
          <w:rFonts w:ascii="Arial" w:hAnsi="Arial" w:cs="Arial"/>
          <w:sz w:val="22"/>
          <w:szCs w:val="22"/>
        </w:rPr>
      </w:pPr>
      <w:r w:rsidRPr="00150966">
        <w:rPr>
          <w:sz w:val="24"/>
          <w:szCs w:val="24"/>
        </w:rPr>
        <w:t xml:space="preserve"> </w:t>
      </w:r>
      <w:r w:rsidRPr="00045DD1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 xml:space="preserve">4 Rashodi za nabavu nefinancijske imovine: </w:t>
      </w:r>
      <w:r>
        <w:rPr>
          <w:sz w:val="24"/>
          <w:szCs w:val="24"/>
        </w:rPr>
        <w:t xml:space="preserve">ova stavka bilježi povećanje za 29,8% radi većeg troška nabave medicinske nefinancijske imovine </w:t>
      </w:r>
    </w:p>
    <w:p w:rsidR="006A4C5D" w:rsidRPr="00011DC7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jc w:val="both"/>
        <w:rPr>
          <w:sz w:val="24"/>
          <w:szCs w:val="24"/>
        </w:rPr>
      </w:pPr>
      <w:r w:rsidRPr="00011DC7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>Y004</w:t>
      </w:r>
      <w:r w:rsidRPr="00011DC7">
        <w:rPr>
          <w:b/>
          <w:i/>
          <w:sz w:val="24"/>
          <w:szCs w:val="24"/>
        </w:rPr>
        <w:t xml:space="preserve"> Ukupan </w:t>
      </w:r>
      <w:r>
        <w:rPr>
          <w:b/>
          <w:i/>
          <w:sz w:val="24"/>
          <w:szCs w:val="24"/>
        </w:rPr>
        <w:t>manjak</w:t>
      </w:r>
      <w:r w:rsidRPr="00011DC7">
        <w:rPr>
          <w:b/>
          <w:i/>
          <w:sz w:val="24"/>
          <w:szCs w:val="24"/>
        </w:rPr>
        <w:t xml:space="preserve"> prihoda:</w:t>
      </w:r>
      <w:r w:rsidRPr="00011DC7">
        <w:rPr>
          <w:sz w:val="24"/>
          <w:szCs w:val="24"/>
        </w:rPr>
        <w:t xml:space="preserve"> </w:t>
      </w:r>
      <w:r>
        <w:rPr>
          <w:sz w:val="24"/>
          <w:szCs w:val="24"/>
        </w:rPr>
        <w:t>iznosi 1.554.443,24 eura. Manjak prihoda je rezultat storniranja prihoda HZZO-a (uplaćeni limiti)</w:t>
      </w:r>
      <w:r w:rsidRPr="005C5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dio ugovorenog limita kojeg </w:t>
      </w:r>
      <w:r w:rsidRPr="004053A4">
        <w:rPr>
          <w:sz w:val="24"/>
          <w:szCs w:val="24"/>
        </w:rPr>
        <w:t xml:space="preserve">Klinika nije uspjela opravdati izvršenim uslugama uslijed permanentnog problema s opskrbom krvi i krvnim pripravcima koji su počeli u 2020. </w:t>
      </w:r>
      <w:r>
        <w:rPr>
          <w:sz w:val="24"/>
          <w:szCs w:val="24"/>
        </w:rPr>
        <w:t>g.</w:t>
      </w:r>
      <w:r w:rsidRPr="004053A4">
        <w:rPr>
          <w:sz w:val="24"/>
          <w:szCs w:val="24"/>
        </w:rPr>
        <w:t xml:space="preserve"> nakon obustave pružanja redovnih zdravstvenih usluga uslijed pandemije Covid-19. Klinika sada obavlja puno više zahvata koji ne zahtijevaju krv i krvne pripravke, a koji pripadaju dijagnostičko terapijskim skupinama (DTS) koje se financijski značajno manje vrednuju u odnosu na operativne zahvate koji zahtijevaju krv i krvne pripravake. Navedenim načinom rada Klinika ima smanjenu fakturnu realizaciju izvršenih usluga i ne može ostvariti limit iako radi punim kapacitetom</w:t>
      </w:r>
      <w:r>
        <w:rPr>
          <w:sz w:val="24"/>
          <w:szCs w:val="24"/>
        </w:rPr>
        <w:t>.</w:t>
      </w:r>
    </w:p>
    <w:p w:rsidR="006A4C5D" w:rsidRPr="004053A4" w:rsidRDefault="006A4C5D" w:rsidP="006A4C5D">
      <w:pPr>
        <w:jc w:val="both"/>
        <w:rPr>
          <w:sz w:val="26"/>
          <w:szCs w:val="26"/>
        </w:rPr>
      </w:pPr>
      <w:r>
        <w:rPr>
          <w:sz w:val="24"/>
          <w:szCs w:val="24"/>
        </w:rPr>
        <w:t>Klinika u kontinuitetu sve obveze izvršava prema dospijeću plaćanja, odnosno Klinika nema dospjelih obveza.</w:t>
      </w:r>
    </w:p>
    <w:p w:rsidR="006A4C5D" w:rsidRPr="00C44642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jc w:val="both"/>
        <w:rPr>
          <w:sz w:val="24"/>
          <w:szCs w:val="24"/>
        </w:rPr>
      </w:pPr>
    </w:p>
    <w:p w:rsidR="006A4C5D" w:rsidRDefault="006A4C5D" w:rsidP="006A4C5D">
      <w:pPr>
        <w:rPr>
          <w:b/>
          <w:sz w:val="26"/>
          <w:szCs w:val="26"/>
        </w:rPr>
      </w:pPr>
      <w:r w:rsidRPr="00446530">
        <w:rPr>
          <w:b/>
          <w:sz w:val="26"/>
          <w:szCs w:val="26"/>
        </w:rPr>
        <w:t xml:space="preserve">BILJEŠKE UZ OBRAZAC </w:t>
      </w:r>
      <w:r>
        <w:rPr>
          <w:b/>
          <w:sz w:val="26"/>
          <w:szCs w:val="26"/>
        </w:rPr>
        <w:t>OBVEZA</w:t>
      </w:r>
    </w:p>
    <w:p w:rsidR="006A4C5D" w:rsidRPr="009A44C3" w:rsidRDefault="006A4C5D" w:rsidP="006A4C5D"/>
    <w:p w:rsidR="006A4C5D" w:rsidRDefault="006A4C5D" w:rsidP="006A4C5D">
      <w:pPr>
        <w:rPr>
          <w:sz w:val="24"/>
          <w:szCs w:val="24"/>
        </w:rPr>
      </w:pPr>
      <w:r w:rsidRPr="00045DD1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 xml:space="preserve">V006  Stanje obveza na kraju izvještajnog razdoblja iznosi 7.447.897,11 eura </w:t>
      </w:r>
      <w:r w:rsidRPr="0074482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sastoji se od:</w:t>
      </w:r>
    </w:p>
    <w:p w:rsidR="006A4C5D" w:rsidRPr="00EB6CDD" w:rsidRDefault="006A4C5D" w:rsidP="006A4C5D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Obveza prema dobavljačima i za plaće zaposlenika u iznosu od 1.258.308,37 eura</w:t>
      </w:r>
    </w:p>
    <w:p w:rsidR="006A4C5D" w:rsidRDefault="006A4C5D" w:rsidP="006A4C5D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Obveza prema HZZO-u za manje izvršen radu u iznosu od  6.189.588,74 eura</w:t>
      </w:r>
    </w:p>
    <w:p w:rsidR="006A4C5D" w:rsidRDefault="006A4C5D" w:rsidP="006A4C5D">
      <w:pPr>
        <w:rPr>
          <w:b/>
          <w:i/>
          <w:sz w:val="24"/>
          <w:szCs w:val="24"/>
        </w:rPr>
      </w:pPr>
    </w:p>
    <w:p w:rsidR="006A4C5D" w:rsidRDefault="006A4C5D" w:rsidP="006A4C5D">
      <w:pPr>
        <w:rPr>
          <w:sz w:val="24"/>
          <w:szCs w:val="24"/>
        </w:rPr>
      </w:pPr>
      <w:r w:rsidRPr="00045DD1">
        <w:rPr>
          <w:b/>
          <w:i/>
          <w:sz w:val="24"/>
          <w:szCs w:val="24"/>
        </w:rPr>
        <w:t xml:space="preserve">Bilješka uz </w:t>
      </w:r>
      <w:r>
        <w:rPr>
          <w:b/>
          <w:i/>
          <w:sz w:val="24"/>
          <w:szCs w:val="24"/>
        </w:rPr>
        <w:t xml:space="preserve">V009 Stanje nedospjelih obveza na kraju izvještajnog razdoblja </w:t>
      </w:r>
      <w:r w:rsidRPr="00577026">
        <w:rPr>
          <w:sz w:val="24"/>
          <w:szCs w:val="24"/>
        </w:rPr>
        <w:t xml:space="preserve">u iznosu od </w:t>
      </w:r>
      <w:r w:rsidRPr="008962AB">
        <w:rPr>
          <w:i/>
          <w:sz w:val="24"/>
          <w:szCs w:val="24"/>
        </w:rPr>
        <w:t>7.447.897,11</w:t>
      </w:r>
      <w:r>
        <w:rPr>
          <w:b/>
          <w:i/>
          <w:sz w:val="24"/>
          <w:szCs w:val="24"/>
        </w:rPr>
        <w:t xml:space="preserve"> </w:t>
      </w:r>
      <w:r w:rsidR="00643C39" w:rsidRPr="00643C39">
        <w:rPr>
          <w:i/>
          <w:sz w:val="24"/>
          <w:szCs w:val="24"/>
        </w:rPr>
        <w:t>eura</w:t>
      </w:r>
      <w:r>
        <w:rPr>
          <w:sz w:val="24"/>
          <w:szCs w:val="24"/>
        </w:rPr>
        <w:t xml:space="preserve"> pokazuje da Klinika </w:t>
      </w:r>
      <w:r w:rsidRPr="00FB5E61">
        <w:rPr>
          <w:b/>
          <w:sz w:val="24"/>
          <w:szCs w:val="24"/>
        </w:rPr>
        <w:t>nema dospjelih obveza.</w:t>
      </w:r>
      <w:r>
        <w:rPr>
          <w:sz w:val="24"/>
          <w:szCs w:val="24"/>
        </w:rPr>
        <w:t xml:space="preserve"> </w:t>
      </w:r>
    </w:p>
    <w:p w:rsidR="006A4C5D" w:rsidRDefault="006A4C5D" w:rsidP="006A4C5D">
      <w:pPr>
        <w:rPr>
          <w:sz w:val="24"/>
          <w:szCs w:val="24"/>
        </w:rPr>
      </w:pPr>
    </w:p>
    <w:p w:rsidR="006A4C5D" w:rsidRDefault="006A4C5D" w:rsidP="006A4C5D">
      <w:pPr>
        <w:rPr>
          <w:sz w:val="24"/>
          <w:szCs w:val="24"/>
        </w:rPr>
      </w:pPr>
    </w:p>
    <w:p w:rsidR="006A4C5D" w:rsidRDefault="006A4C5D" w:rsidP="006A4C5D">
      <w:pPr>
        <w:rPr>
          <w:b/>
          <w:sz w:val="26"/>
          <w:szCs w:val="26"/>
        </w:rPr>
      </w:pPr>
    </w:p>
    <w:p w:rsidR="006A4C5D" w:rsidRDefault="006A4C5D" w:rsidP="006A4C5D">
      <w:pPr>
        <w:rPr>
          <w:b/>
          <w:sz w:val="26"/>
          <w:szCs w:val="26"/>
        </w:rPr>
      </w:pPr>
      <w:r w:rsidRPr="007461AB">
        <w:rPr>
          <w:b/>
          <w:sz w:val="26"/>
          <w:szCs w:val="26"/>
        </w:rPr>
        <w:t>BILJEŠKE UZ OBRAZAC</w:t>
      </w:r>
      <w:r>
        <w:rPr>
          <w:b/>
          <w:sz w:val="26"/>
          <w:szCs w:val="26"/>
        </w:rPr>
        <w:t xml:space="preserve"> P-VRIO</w:t>
      </w:r>
    </w:p>
    <w:p w:rsidR="00B8239F" w:rsidRDefault="00B8239F" w:rsidP="00172563">
      <w:pPr>
        <w:rPr>
          <w:sz w:val="24"/>
          <w:szCs w:val="24"/>
        </w:rPr>
      </w:pPr>
    </w:p>
    <w:p w:rsidR="006A4C5D" w:rsidRPr="00172563" w:rsidRDefault="00836C86" w:rsidP="00327302">
      <w:pPr>
        <w:jc w:val="both"/>
        <w:rPr>
          <w:sz w:val="24"/>
          <w:szCs w:val="24"/>
        </w:rPr>
      </w:pPr>
      <w:r>
        <w:rPr>
          <w:sz w:val="24"/>
          <w:szCs w:val="24"/>
        </w:rPr>
        <w:t>Do s</w:t>
      </w:r>
      <w:r w:rsidR="00B8239F">
        <w:rPr>
          <w:sz w:val="24"/>
          <w:szCs w:val="24"/>
        </w:rPr>
        <w:t>manjenj</w:t>
      </w:r>
      <w:r>
        <w:rPr>
          <w:sz w:val="24"/>
          <w:szCs w:val="24"/>
        </w:rPr>
        <w:t>a</w:t>
      </w:r>
      <w:r w:rsidR="00B8239F">
        <w:rPr>
          <w:sz w:val="24"/>
          <w:szCs w:val="24"/>
        </w:rPr>
        <w:t xml:space="preserve"> vrijednosti </w:t>
      </w:r>
      <w:r w:rsidR="006A4C5D" w:rsidRPr="00172563">
        <w:rPr>
          <w:sz w:val="24"/>
          <w:szCs w:val="24"/>
        </w:rPr>
        <w:t xml:space="preserve"> u obujmu proizvedene dugotrajne imovine</w:t>
      </w:r>
      <w:r w:rsidR="00681D74">
        <w:rPr>
          <w:sz w:val="24"/>
          <w:szCs w:val="24"/>
        </w:rPr>
        <w:t xml:space="preserve"> za 7.524,47 eura</w:t>
      </w:r>
      <w:r w:rsidR="006A4C5D" w:rsidRPr="00172563">
        <w:rPr>
          <w:sz w:val="24"/>
          <w:szCs w:val="24"/>
        </w:rPr>
        <w:t xml:space="preserve"> </w:t>
      </w:r>
      <w:r>
        <w:rPr>
          <w:sz w:val="24"/>
          <w:szCs w:val="24"/>
        </w:rPr>
        <w:t>došlo</w:t>
      </w:r>
      <w:r w:rsidR="00327302">
        <w:rPr>
          <w:sz w:val="24"/>
          <w:szCs w:val="24"/>
        </w:rPr>
        <w:t xml:space="preserve"> je uslijed</w:t>
      </w:r>
      <w:r>
        <w:rPr>
          <w:sz w:val="24"/>
          <w:szCs w:val="24"/>
        </w:rPr>
        <w:t xml:space="preserve"> </w:t>
      </w:r>
      <w:r w:rsidR="00327302">
        <w:rPr>
          <w:sz w:val="24"/>
          <w:szCs w:val="24"/>
        </w:rPr>
        <w:t>povlačenja proizvoda</w:t>
      </w:r>
      <w:r w:rsidR="007802CD">
        <w:rPr>
          <w:sz w:val="24"/>
          <w:szCs w:val="24"/>
        </w:rPr>
        <w:t>, 14</w:t>
      </w:r>
      <w:r w:rsidR="00327302">
        <w:rPr>
          <w:sz w:val="24"/>
          <w:szCs w:val="24"/>
        </w:rPr>
        <w:t xml:space="preserve"> PCA pump</w:t>
      </w:r>
      <w:r w:rsidR="007802CD">
        <w:rPr>
          <w:sz w:val="24"/>
          <w:szCs w:val="24"/>
        </w:rPr>
        <w:t>i</w:t>
      </w:r>
      <w:r w:rsidR="00327302">
        <w:rPr>
          <w:sz w:val="24"/>
          <w:szCs w:val="24"/>
        </w:rPr>
        <w:t xml:space="preserve"> </w:t>
      </w:r>
      <w:r w:rsidR="007802CD">
        <w:rPr>
          <w:sz w:val="24"/>
          <w:szCs w:val="24"/>
        </w:rPr>
        <w:t>(</w:t>
      </w:r>
      <w:r w:rsidR="00327302">
        <w:rPr>
          <w:sz w:val="24"/>
          <w:szCs w:val="24"/>
        </w:rPr>
        <w:t>medicinski uređaj</w:t>
      </w:r>
      <w:r w:rsidR="007802CD">
        <w:rPr>
          <w:sz w:val="24"/>
          <w:szCs w:val="24"/>
        </w:rPr>
        <w:t>i</w:t>
      </w:r>
      <w:r w:rsidR="00327302">
        <w:rPr>
          <w:sz w:val="24"/>
          <w:szCs w:val="24"/>
        </w:rPr>
        <w:t>) od strane proizvođača koj</w:t>
      </w:r>
      <w:r w:rsidR="001F5647">
        <w:rPr>
          <w:sz w:val="24"/>
          <w:szCs w:val="24"/>
        </w:rPr>
        <w:t>e</w:t>
      </w:r>
      <w:r w:rsidR="00327302">
        <w:rPr>
          <w:sz w:val="24"/>
          <w:szCs w:val="24"/>
        </w:rPr>
        <w:t xml:space="preserve"> se više ne mo</w:t>
      </w:r>
      <w:r w:rsidR="001F5647">
        <w:rPr>
          <w:sz w:val="24"/>
          <w:szCs w:val="24"/>
        </w:rPr>
        <w:t>gu</w:t>
      </w:r>
      <w:r w:rsidR="00327302">
        <w:rPr>
          <w:sz w:val="24"/>
          <w:szCs w:val="24"/>
        </w:rPr>
        <w:t xml:space="preserve"> koristiti zbog prestanka proizvodnje potrošnog materija</w:t>
      </w:r>
      <w:r w:rsidR="007802CD">
        <w:rPr>
          <w:sz w:val="24"/>
          <w:szCs w:val="24"/>
        </w:rPr>
        <w:t>la.</w:t>
      </w:r>
      <w:r w:rsidR="00681D74">
        <w:rPr>
          <w:sz w:val="24"/>
          <w:szCs w:val="24"/>
        </w:rPr>
        <w:t xml:space="preserve"> Klinika je obeštećena na način da je dobavljač isplatio</w:t>
      </w:r>
      <w:r w:rsidR="0018524F">
        <w:rPr>
          <w:sz w:val="24"/>
          <w:szCs w:val="24"/>
        </w:rPr>
        <w:t xml:space="preserve"> Klinici</w:t>
      </w:r>
      <w:r w:rsidR="00681D74">
        <w:rPr>
          <w:sz w:val="24"/>
          <w:szCs w:val="24"/>
        </w:rPr>
        <w:t xml:space="preserve"> kompletnu tržišnu vrijednost PCI pumpi.</w:t>
      </w:r>
      <w:r w:rsidR="007802CD">
        <w:rPr>
          <w:sz w:val="24"/>
          <w:szCs w:val="24"/>
        </w:rPr>
        <w:t xml:space="preserve"> </w:t>
      </w:r>
    </w:p>
    <w:p w:rsidR="006A4C5D" w:rsidRPr="00EB6CDD" w:rsidRDefault="006A4C5D" w:rsidP="006A4C5D">
      <w:pPr>
        <w:rPr>
          <w:b/>
          <w:i/>
          <w:sz w:val="24"/>
          <w:szCs w:val="24"/>
        </w:rPr>
      </w:pPr>
    </w:p>
    <w:p w:rsidR="006A4C5D" w:rsidRDefault="006A4C5D" w:rsidP="006A4C5D"/>
    <w:p w:rsidR="002C5445" w:rsidRDefault="002C5445" w:rsidP="006A4C5D"/>
    <w:p w:rsidR="006A4C5D" w:rsidRPr="002C5445" w:rsidRDefault="002C5445" w:rsidP="006A4C5D">
      <w:pPr>
        <w:rPr>
          <w:sz w:val="24"/>
          <w:szCs w:val="24"/>
        </w:rPr>
      </w:pPr>
      <w:r w:rsidRPr="002C5445">
        <w:rPr>
          <w:sz w:val="24"/>
          <w:szCs w:val="24"/>
        </w:rPr>
        <w:t>Bilješke sastavila:</w:t>
      </w:r>
    </w:p>
    <w:p w:rsidR="006A4C5D" w:rsidRDefault="006A4C5D" w:rsidP="006A4C5D">
      <w:pPr>
        <w:rPr>
          <w:sz w:val="24"/>
          <w:szCs w:val="24"/>
        </w:rPr>
      </w:pPr>
      <w:r w:rsidRPr="00FF0CC8">
        <w:rPr>
          <w:sz w:val="24"/>
          <w:szCs w:val="24"/>
        </w:rPr>
        <w:t>Anastazia Ivančić</w:t>
      </w:r>
    </w:p>
    <w:p w:rsidR="002C5445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 w:rsidRPr="00FF0CC8">
        <w:rPr>
          <w:sz w:val="24"/>
          <w:szCs w:val="24"/>
        </w:rPr>
        <w:t xml:space="preserve"> </w:t>
      </w:r>
      <w:hyperlink r:id="rId6" w:history="1">
        <w:r w:rsidR="002C5445" w:rsidRPr="008675E9">
          <w:rPr>
            <w:rStyle w:val="Hyperlink"/>
            <w:sz w:val="24"/>
            <w:szCs w:val="24"/>
          </w:rPr>
          <w:t>financije@orto-lovran.hr</w:t>
        </w:r>
      </w:hyperlink>
    </w:p>
    <w:p w:rsidR="006A4C5D" w:rsidRPr="00FF0CC8" w:rsidRDefault="006A4C5D" w:rsidP="006A4C5D">
      <w:pPr>
        <w:rPr>
          <w:sz w:val="24"/>
          <w:szCs w:val="24"/>
        </w:rPr>
      </w:pPr>
      <w:r>
        <w:rPr>
          <w:sz w:val="24"/>
          <w:szCs w:val="24"/>
        </w:rPr>
        <w:t>Tel: 051/710-244</w:t>
      </w:r>
    </w:p>
    <w:p w:rsidR="00CB01B7" w:rsidRDefault="00CB01B7"/>
    <w:sectPr w:rsidR="00CB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321"/>
    <w:multiLevelType w:val="hybridMultilevel"/>
    <w:tmpl w:val="2AC4025E"/>
    <w:lvl w:ilvl="0" w:tplc="C4DA94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5466A"/>
    <w:multiLevelType w:val="hybridMultilevel"/>
    <w:tmpl w:val="D5EA2ACA"/>
    <w:lvl w:ilvl="0" w:tplc="17CE8842">
      <w:start w:val="8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301F2"/>
    <w:multiLevelType w:val="hybridMultilevel"/>
    <w:tmpl w:val="98ACA18E"/>
    <w:lvl w:ilvl="0" w:tplc="DEE46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D"/>
    <w:rsid w:val="00000C20"/>
    <w:rsid w:val="00004E3A"/>
    <w:rsid w:val="00015E60"/>
    <w:rsid w:val="00062774"/>
    <w:rsid w:val="00065260"/>
    <w:rsid w:val="000C71C6"/>
    <w:rsid w:val="00162EC7"/>
    <w:rsid w:val="00172563"/>
    <w:rsid w:val="0018524F"/>
    <w:rsid w:val="001E2808"/>
    <w:rsid w:val="001F1CC5"/>
    <w:rsid w:val="001F5647"/>
    <w:rsid w:val="002C2D68"/>
    <w:rsid w:val="002C5445"/>
    <w:rsid w:val="002D1264"/>
    <w:rsid w:val="002F2706"/>
    <w:rsid w:val="003023C7"/>
    <w:rsid w:val="00327302"/>
    <w:rsid w:val="00384CDB"/>
    <w:rsid w:val="003C71B2"/>
    <w:rsid w:val="0046452F"/>
    <w:rsid w:val="00472E44"/>
    <w:rsid w:val="004846C1"/>
    <w:rsid w:val="004860DE"/>
    <w:rsid w:val="004C230C"/>
    <w:rsid w:val="005725A0"/>
    <w:rsid w:val="00584E16"/>
    <w:rsid w:val="006078F2"/>
    <w:rsid w:val="00607A44"/>
    <w:rsid w:val="00624D12"/>
    <w:rsid w:val="00643C39"/>
    <w:rsid w:val="00681D74"/>
    <w:rsid w:val="006871CB"/>
    <w:rsid w:val="006A1633"/>
    <w:rsid w:val="006A4C5D"/>
    <w:rsid w:val="006E0553"/>
    <w:rsid w:val="00712EDD"/>
    <w:rsid w:val="0071594B"/>
    <w:rsid w:val="00737D8B"/>
    <w:rsid w:val="007802CD"/>
    <w:rsid w:val="007868CF"/>
    <w:rsid w:val="00790F9A"/>
    <w:rsid w:val="007A41D4"/>
    <w:rsid w:val="007B1573"/>
    <w:rsid w:val="00836C86"/>
    <w:rsid w:val="00861CBE"/>
    <w:rsid w:val="008E0BF3"/>
    <w:rsid w:val="00916B33"/>
    <w:rsid w:val="009462BE"/>
    <w:rsid w:val="00964148"/>
    <w:rsid w:val="0099383A"/>
    <w:rsid w:val="009A04CB"/>
    <w:rsid w:val="00A223B9"/>
    <w:rsid w:val="00A44544"/>
    <w:rsid w:val="00AC14CE"/>
    <w:rsid w:val="00AD0762"/>
    <w:rsid w:val="00AD6ED8"/>
    <w:rsid w:val="00AE2CD3"/>
    <w:rsid w:val="00B14019"/>
    <w:rsid w:val="00B31709"/>
    <w:rsid w:val="00B535CC"/>
    <w:rsid w:val="00B550FA"/>
    <w:rsid w:val="00B66E7C"/>
    <w:rsid w:val="00B7009B"/>
    <w:rsid w:val="00B77D60"/>
    <w:rsid w:val="00B8239F"/>
    <w:rsid w:val="00BB4350"/>
    <w:rsid w:val="00BC7F79"/>
    <w:rsid w:val="00C21CD7"/>
    <w:rsid w:val="00C77324"/>
    <w:rsid w:val="00CB01B7"/>
    <w:rsid w:val="00CB1160"/>
    <w:rsid w:val="00CD43FF"/>
    <w:rsid w:val="00CE6947"/>
    <w:rsid w:val="00CF7A87"/>
    <w:rsid w:val="00D62EAA"/>
    <w:rsid w:val="00DA3466"/>
    <w:rsid w:val="00E01521"/>
    <w:rsid w:val="00E208AF"/>
    <w:rsid w:val="00E4413E"/>
    <w:rsid w:val="00E75E99"/>
    <w:rsid w:val="00E80F8E"/>
    <w:rsid w:val="00EC347A"/>
    <w:rsid w:val="00EF06D4"/>
    <w:rsid w:val="00EF2F7D"/>
    <w:rsid w:val="00F302CC"/>
    <w:rsid w:val="00F646CC"/>
    <w:rsid w:val="00F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C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6A4C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C5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4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C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6A4C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C5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4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je@orto-lovra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Anastazia</dc:creator>
  <cp:lastModifiedBy>Anastazia</cp:lastModifiedBy>
  <cp:revision>2</cp:revision>
  <cp:lastPrinted>2024-01-31T17:26:00Z</cp:lastPrinted>
  <dcterms:created xsi:type="dcterms:W3CDTF">2024-02-01T09:28:00Z</dcterms:created>
  <dcterms:modified xsi:type="dcterms:W3CDTF">2024-02-01T09:28:00Z</dcterms:modified>
</cp:coreProperties>
</file>