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E7A0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7A0C" w:rsidRDefault="00212CB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E7A0C" w:rsidRDefault="00212CB8">
            <w:pPr>
              <w:spacing w:after="0" w:line="240" w:lineRule="auto"/>
            </w:pPr>
            <w:r>
              <w:t>26426</w:t>
            </w:r>
          </w:p>
        </w:tc>
      </w:tr>
      <w:tr w:rsidR="004E7A0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7A0C" w:rsidRDefault="00212CB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E7A0C" w:rsidRDefault="00212CB8">
            <w:pPr>
              <w:spacing w:after="0" w:line="240" w:lineRule="auto"/>
            </w:pPr>
            <w:r>
              <w:t>KLINIKA ZA ORTOPEDIJU LOVRAN</w:t>
            </w:r>
          </w:p>
        </w:tc>
      </w:tr>
      <w:tr w:rsidR="004E7A0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7A0C" w:rsidRDefault="00212CB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E7A0C" w:rsidRDefault="00212CB8">
            <w:pPr>
              <w:spacing w:after="0" w:line="240" w:lineRule="auto"/>
            </w:pPr>
            <w:r>
              <w:t>11</w:t>
            </w:r>
          </w:p>
        </w:tc>
      </w:tr>
    </w:tbl>
    <w:p w:rsidR="004E7A0C" w:rsidRDefault="00212CB8">
      <w:r>
        <w:br/>
      </w:r>
    </w:p>
    <w:p w:rsidR="004E7A0C" w:rsidRDefault="00212CB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E7A0C" w:rsidRDefault="00212CB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E7A0C" w:rsidRDefault="00212CB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11.158.174,37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12.538.292,51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12.599.898,60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14.195.241,45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4E7A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1.441.724,23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1.656.948,94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114,9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25,3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586.573,86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994.127,04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169,5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4E7A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584.995,04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993.727,04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169,9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4E7A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4E7A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2.026.719,27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2.650.675,98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130,8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 xml:space="preserve">U razdoblju od 1. siječnja do 31. prosinca 2025. godine prihodi poslovanja ostvareni su u iznosu od 12.538.292,51 eura.  Povećanje prihoda je posljedica povećanja ugovorenih namjenskih sredstava Hrvatskog zavoda za zdravstveno osiguranje u 2025. godini.  Rashodi poslovanja u razdoblju od 1. siječnja do 31. prosinca 2025. godine ostvareni su u iznosu od 14.195.241,45 eura. Najznačajnije povećanje rashoda evidentirano je na rashodima za </w:t>
      </w:r>
      <w:r>
        <w:lastRenderedPageBreak/>
        <w:t>zaposlene uslijed povećanja plaća i na rashodima utroška lijekova i potrošnog medicinskog materijala zbog povećanja cijena dobivenih javnim nadmetanjima. U navedenom razdoblju ostvareni su minimalni prihodi od prodaje nefinancijske imovine, dok su rashodi za nabavu nefinancijske imovine ostvareni u iznosu od 994.127,04 eura. Ukupan manjak prihoda i primitaka za 2025. godinu iznosi 2.650.675,98 eura. Ukupan manjak prihoda i primitaka je tzv. "metodološki" manjak i nastaje uslijed smanjena fakturne realizacije prema HZZO-u u odnosu na ugovoreni financijski limit. Klinika kontinuirano posluje te pravodobno izvršava i podmiruje sve dospjele obveze. Klinika nema dospjelih obveza.</w:t>
      </w:r>
    </w:p>
    <w:p w:rsidR="004E7A0C" w:rsidRDefault="00212CB8">
      <w:r>
        <w:br/>
      </w:r>
    </w:p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11.158.174,37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12.538.292,51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Najveći utjecaj na rast prihod poslovanja je imalo povećanje limita za ugovorene usluge s HZZO-om.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530.891,00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178,9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U 2025. godini ova stavka bilježi povećanje zbog većeg iznosa dodijeljenih sredstava za nabavu nefinancijske imovine od strane Ministarstva zdrastva (izvor 11).  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8.903.647,11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10.197.200,27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Prihodi od HZZO-a su veći zbog novo ugovorenih vrijednosti u 2025. godini.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316,4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Službena putovanja su veća u nominalnom iznosu 3.916,04 eura, povećanje je posljedica većih broja odlazaka u nadležno ministarstvo.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122.126,85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178.258,33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146,0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Nabava sitnog inventara se najvećim dijelom odnosi na redovno zanavljanje kirurških instrumenata u operacijskoj sali i nabavi zaštitnih pregača za rendgen.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12.252,23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3743,0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Na ovoj stavci evidentirana je nabava službene radne odjeće i posteljine za bolničke odjele.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25.108,22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51.205,13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203,9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Ova stavka bilježi povećanje od 103,9% i odnosi se na trošak odvjetničkih usluga i trošak rada studenata koji su angažirani kao ispomoć u fizičkim poslovima prenošenja namještaja, čišćenja arhivskog i skladišnog prostora.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lijekova i potrošnog medicinskog materijala kod zdravstvenih ustanova (šifre 3251 do 3254)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2.819.364,79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3.584.623,07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Rashodi za lijekove i medicinski potrošni materijal su veći za 27,1% u odnosu na ostvarenja iz prethodne godine kao posljedica većih cijena postignutih novim javnim nadmetanjima.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41.583,42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81.464,57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195,9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Rashodi za premije osiguranja veće su za 95,9% u odnosu na isti period prošle godine zbog obveze ugovaranja osiguranja imovine i osiguranja od odgovornositi temeljem zajedničke nabave koju je provelo Ministarstvo zdravstva. Klinika je do sada imala ugovoreno samo osiguranje imovine od požara.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15.544,63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Troškovi sudskih postupaka se odnose na isplaćene troškove za isplaćene tri pravomoćne presude iz radnih odnosa.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37,1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Smanjenje troškova za zatezne kamate je posljedica isplate manjeg iznosa kamata za pravomoćne presude u 2025. godine. 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šteta pravnim i fizičkim osobama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16.745,70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40.480,34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241,7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Na ovoj stavci evidentirana je isplata štete prema pravomoćnoj sudsoj presudi.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25,3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U 2025. godini ostvareni prihod se odnosi na prodaju službenog vozila Klinike.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586.573,86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994.127,04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169,5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Rashodi za nabavu nefinancijske imovine bilježe povećanje zbog većeg ostvaranja planske vrijednosti namjenskih sredstava Ministarstva zdravstva. Rahodi na ovoj stavci se otvaruju sukladno usvojenom planu za nabavu nefinancijske imovine.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4E7A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2.026.719,27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2.650.675,98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 xml:space="preserve">Ukupan manjak prihoda i primitaka (šifra Y005) iznosi 2.650.675,98 eura. Manjak prihoda je tzv. "metodološki" manjak zbog načina evidentiranja prihoda prema uputi Ministarstva financija. Doznačena novčana sredstva HZZO-a temeljem sklopljenog Ugovora se priznaju tek po izvršenju (fakturiranju) usluga prema HZZO-u. Ukupni primici HZZO-a za limit u </w:t>
      </w:r>
      <w:r>
        <w:lastRenderedPageBreak/>
        <w:t>2025. godini iznose 12.326.947,40 eura u 2025. godini, od toga priznato je kao prihod 9.564.437,34 eura, ostatak primitka 2.762.510,06 eura ostaje prikazan kao obveza za manje izvršeni rad.</w:t>
      </w:r>
    </w:p>
    <w:p w:rsidR="004E7A0C" w:rsidRDefault="00212CB8">
      <w:r>
        <w:t>Klinika uslijed permanentnog problema s opskrbom krvi i krvnim pripravcima koji su počeli u 2020. g. nakon obustave pružanja redovnih zdravstvenih usluga uslijed pandemije Covid-19 ima problem s fakturnom realizacijom. Klinika sada obavlja puno više zahvata koji ne zahtijevaju krv i krvne pripravke, ali takvi postupci pripadaju dijagnostičko terapijskim skupinama (DTS) koje se financijski značajno manje vrednuju u odnosu na operativne zahvate koji zahtijevaju krv i krvne pripravake (iako pojedini takvi postupci rezultiraju znatno većim troškovima medicinskog materijala). Navedenim načinom rada Klinika ima smanjenu fakturnu realizaciju izvršenih usluga i ne može ostvariti financijski limit iako radi punim kapacitetom. Klinika i dalje, u kontinuitetu, sve obveze izvršava i podmiruje prema dospijeću plaćanja, odnosno Klinika nema dospjelih obveza.</w:t>
      </w:r>
    </w:p>
    <w:p w:rsidR="004E7A0C" w:rsidRDefault="00212CB8">
      <w:r>
        <w:t> 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4.366.878,07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4.911.385,40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Nefinancijska imovina je u 2025.g. povećana za 12,5% radi nabave novih uređaja i opreme.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za obavljanje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22.120,31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27.711,70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Na dan 31.12.2025. godine zalihe su veće za 25,3%. Stanje zaliha se odnosi na živežne namirnice, uredski materijal, materijal za čišćenje i higijenu i tehnički materijal. Povećanje vrijednosti zalihe je posljedica većih cijena dobivenih javnim nadmetanjima.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lijekova i potrošnog medicinskog materijala kod zdravstvenih ustanova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59.145,73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72.709,36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Na dan 31.12.2025. godine zalihe su veće za 22,9%. Stanje zaliha se odnosi na zalihe lijekova i kemikalija 21.093,88, zalihe potrošnog medicinskog materijala 31.641,09 eura i zalihe ugradbenog materijala 19.974,39 eura. Povećanje vrijednosti zalihe je posljedica većih cijena dobivenih javnim nadmetanjima.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142.762,54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346.018,22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242,4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Ova stavka se odnosi na potraživanja za dopunsko osiguranje prema HZZO-u i ostalim osiguranjima.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36.540,46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52.497,40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Najveći udio ove skupine potraživanja se odnosi na potraživanje prema Ministarstvu zdravstva za liječenja državljana Ukrajine.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668.923,83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748.966,92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112,0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Obveze za zaposlene veće su za 12% kao posljedica povećanja osnovice za obračun plaće.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593.560,37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673.760,85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Obveze za materijalne rashode su veće za 13,5% kao posljedica povećanja vrijednosti nabavljene robe uslijed povećanja cijena dobivenih javnim nadmetanjima.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9.042.910,53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11.799.324,69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Ova stavka se odnosi na Obvezu za manje izvršen rad prema HZZO-u.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-7.928.744,31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-10.583.102,10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Preneseni manjak iz prethodnih razdoblja je uvećan za manjak prihoda 2025. godine. Preneseni manjak se isključivo odnosi na tzv. "metodološki" manjak koji proizlazi iz evidentiranja zaprimljenih sredstava HZZO-a kao Obvezu prema HZZO-u. 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268.946,27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513.932,83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191,1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Stavka bilježi povećanje zbog većih potraživanja za fakturirane usluge iz dopunskog osiguranja.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9.020.110,11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11.779.620,17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Stavka se odnosi na stanje obveza za manje izvršen rad prema HZZO-u.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598.249,37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882.831,32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147,6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Povećanje vrijednosti stavke je posljedica povećanja vrijednosti tuđe zalihe za potrošni i medicinski materijal prema ugovorima za nabavu. 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93.977,76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122.599,73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rPr>
          <w:b/>
        </w:rPr>
        <w:t>Stanje obveza po sudskim sporovima:</w:t>
      </w:r>
    </w:p>
    <w:p w:rsidR="004E7A0C" w:rsidRDefault="00212CB8">
      <w:r>
        <w:t>Zaposlenik 1   6.636,14 eura</w:t>
      </w:r>
    </w:p>
    <w:p w:rsidR="004E7A0C" w:rsidRDefault="00212CB8">
      <w:r>
        <w:t>Zaposlenik 2   1.459,95 eura</w:t>
      </w:r>
    </w:p>
    <w:p w:rsidR="004E7A0C" w:rsidRDefault="00212CB8">
      <w:r>
        <w:t>Zaposlenik 3   1.018,32 eura</w:t>
      </w:r>
    </w:p>
    <w:p w:rsidR="004E7A0C" w:rsidRDefault="00212CB8">
      <w:r>
        <w:rPr>
          <w:b/>
        </w:rPr>
        <w:t>Parnični sporovi:</w:t>
      </w:r>
    </w:p>
    <w:p w:rsidR="004E7A0C" w:rsidRDefault="00212CB8">
      <w:r>
        <w:t>Tužitelj 1   10.500,00 eura</w:t>
      </w:r>
    </w:p>
    <w:p w:rsidR="004E7A0C" w:rsidRDefault="00212CB8">
      <w:r>
        <w:t>Tužitelj 2   12.000,00 eura</w:t>
      </w:r>
    </w:p>
    <w:p w:rsidR="004E7A0C" w:rsidRDefault="00212CB8">
      <w:r>
        <w:t>Tužitelj 3   17.000,00 eura</w:t>
      </w:r>
    </w:p>
    <w:p w:rsidR="004E7A0C" w:rsidRDefault="00212CB8">
      <w:r>
        <w:t>Tužitelj 4     7.167,03 eura</w:t>
      </w:r>
    </w:p>
    <w:p w:rsidR="004E7A0C" w:rsidRDefault="00212CB8">
      <w:r>
        <w:lastRenderedPageBreak/>
        <w:t>Tužitelj 5   11.087,66 eura</w:t>
      </w:r>
    </w:p>
    <w:p w:rsidR="004E7A0C" w:rsidRDefault="00212CB8">
      <w:r>
        <w:t>Tužitelj 6   35.730,63 eura</w:t>
      </w:r>
    </w:p>
    <w:p w:rsidR="004E7A0C" w:rsidRDefault="00212CB8">
      <w:r>
        <w:t>Tužitelj 7   20.000,00 eura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212CB8">
      <w:r>
        <w:t> </w:t>
      </w:r>
    </w:p>
    <w:p w:rsidR="004E7A0C" w:rsidRDefault="004E7A0C"/>
    <w:p w:rsidR="004E7A0C" w:rsidRDefault="00212CB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E7A0C" w:rsidRDefault="00212CB8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E7A0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A0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4E7A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A0C" w:rsidRDefault="00212C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A0C" w:rsidRDefault="004E7A0C">
      <w:pPr>
        <w:spacing w:after="0"/>
      </w:pPr>
    </w:p>
    <w:p w:rsidR="004E7A0C" w:rsidRDefault="00212CB8">
      <w:r>
        <w:t>Stanje dospjelih obveza na kraju 2025. godine iznosi 0,00 eura što potvrđuje da Klinika kontinuirano nema dospjelih obveza.</w:t>
      </w:r>
    </w:p>
    <w:p w:rsidR="004E7A0C" w:rsidRDefault="004E7A0C"/>
    <w:sectPr w:rsidR="004E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0C"/>
    <w:rsid w:val="0002632F"/>
    <w:rsid w:val="001A58E8"/>
    <w:rsid w:val="00212CB8"/>
    <w:rsid w:val="004E7A0C"/>
    <w:rsid w:val="007B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2161</Words>
  <Characters>12323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Anastazia</dc:creator>
  <cp:lastModifiedBy>Blagajna</cp:lastModifiedBy>
  <cp:revision>2</cp:revision>
  <dcterms:created xsi:type="dcterms:W3CDTF">2026-02-02T15:31:00Z</dcterms:created>
  <dcterms:modified xsi:type="dcterms:W3CDTF">2026-02-02T15:31:00Z</dcterms:modified>
</cp:coreProperties>
</file>